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Price Bridgett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FIRST ADVANTAGE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CONCOURSE PARKWAY NE,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ADVANTAGE CORP</w:t>
              </w:r>
            </w:hyperlink>
            <w:r>
              <w:rPr/>
              <w:t xml:space="preserve"> [ </w:t>
            </w:r>
            <w:r>
              <w:rPr>
                <w:rFonts w:ascii="Times;serif" w:hAnsi="Times;serif"/>
                <w:color w:val="0000FF"/>
                <w:sz w:val="24"/>
                <w:shd w:fill="FFFFFF" w:val="clear"/>
              </w:rPr>
              <w:t>FA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12,805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62,572</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which will vest on the first anniversary of the date of grant, or, if earlier, the date which is the business day immediately preceding the date of the annual meeting of the Company's stockholders in 2027, subject to the director's continued service through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 T. Jardine,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3098" TargetMode="External"/><Relationship Id="rId5" Type="http://schemas.openxmlformats.org/officeDocument/2006/relationships/hyperlink" Target="http://www.sec.gov/cgi-bin/browse-edgar?action=getcompany&amp;CIK=00012106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3335</Characters>
  <CharactersWithSpaces>3894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