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132715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165100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217170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First Advantage Corporation</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243840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tbl>
      <w:tblPr>
        <w:tblLayout w:type="fixed"/>
        <w:tblInd w:w="920" w:type="dxa"/>
        <w:tblCellMar>
          <w:top w:w="0" w:type="dxa"/>
          <w:left w:w="0" w:type="dxa"/>
          <w:bottom w:w="0" w:type="dxa"/>
          <w:right w:w="0" w:type="dxa"/>
        </w:tblCellMar>
      </w:tblPr>
      <w:tr>
        <w:trPr>
          <w:trHeight w:val="218"/>
        </w:trPr>
        <w:tc>
          <w:tcPr>
            <w:tcW w:w="268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20" w:type="dxa"/>
            <w:vAlign w:val="bottom"/>
          </w:tcPr>
          <w:p>
            <w:pPr>
              <w:jc w:val="right"/>
              <w:ind w:right="1084"/>
              <w:spacing w:after="0"/>
              <w:rPr>
                <w:sz w:val="20"/>
                <w:szCs w:val="20"/>
                <w:color w:val="auto"/>
              </w:rPr>
            </w:pPr>
            <w:r>
              <w:rPr>
                <w:rFonts w:ascii="Times New Roman" w:cs="Times New Roman" w:eastAsia="Times New Roman" w:hAnsi="Times New Roman"/>
                <w:sz w:val="18"/>
                <w:szCs w:val="18"/>
                <w:b w:val="1"/>
                <w:bCs w:val="1"/>
                <w:color w:val="auto"/>
              </w:rPr>
              <w:t>001-31666</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84-3884690</w:t>
            </w:r>
          </w:p>
        </w:tc>
      </w:tr>
      <w:tr>
        <w:trPr>
          <w:trHeight w:val="135"/>
        </w:trPr>
        <w:tc>
          <w:tcPr>
            <w:tcW w:w="2680" w:type="dxa"/>
            <w:vAlign w:val="bottom"/>
          </w:tcPr>
          <w:p>
            <w:pPr>
              <w:jc w:val="center"/>
              <w:ind w:right="442"/>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w:t>
            </w:r>
          </w:p>
        </w:tc>
        <w:tc>
          <w:tcPr>
            <w:tcW w:w="2820" w:type="dxa"/>
            <w:vAlign w:val="bottom"/>
          </w:tcPr>
          <w:p>
            <w:pPr>
              <w:jc w:val="center"/>
              <w:ind w:right="204"/>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1800" w:type="dxa"/>
            <w:vAlign w:val="bottom"/>
          </w:tcPr>
          <w:p>
            <w:pPr>
              <w:jc w:val="center"/>
              <w:ind w:left="746"/>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2680" w:type="dxa"/>
            <w:vAlign w:val="bottom"/>
          </w:tcPr>
          <w:p>
            <w:pPr>
              <w:jc w:val="center"/>
              <w:ind w:right="442"/>
              <w:spacing w:after="0"/>
              <w:rPr>
                <w:sz w:val="20"/>
                <w:szCs w:val="20"/>
                <w:color w:val="auto"/>
              </w:rPr>
            </w:pPr>
            <w:r>
              <w:rPr>
                <w:rFonts w:ascii="Times New Roman" w:cs="Times New Roman" w:eastAsia="Times New Roman" w:hAnsi="Times New Roman"/>
                <w:sz w:val="13"/>
                <w:szCs w:val="13"/>
                <w:b w:val="1"/>
                <w:bCs w:val="1"/>
                <w:color w:val="auto"/>
                <w:w w:val="95"/>
              </w:rPr>
              <w:t>of Incorporation)</w:t>
            </w:r>
          </w:p>
        </w:tc>
        <w:tc>
          <w:tcPr>
            <w:tcW w:w="2820" w:type="dxa"/>
            <w:vAlign w:val="bottom"/>
          </w:tcPr>
          <w:p>
            <w:pPr>
              <w:spacing w:after="0"/>
              <w:rPr>
                <w:sz w:val="14"/>
                <w:szCs w:val="14"/>
                <w:color w:val="auto"/>
              </w:rPr>
            </w:pPr>
          </w:p>
        </w:tc>
        <w:tc>
          <w:tcPr>
            <w:tcW w:w="1800" w:type="dxa"/>
            <w:vAlign w:val="bottom"/>
          </w:tcPr>
          <w:p>
            <w:pPr>
              <w:jc w:val="center"/>
              <w:ind w:left="74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99"/>
        </w:trPr>
        <w:tc>
          <w:tcPr>
            <w:tcW w:w="2680" w:type="dxa"/>
            <w:vAlign w:val="bottom"/>
          </w:tcPr>
          <w:p>
            <w:pPr>
              <w:jc w:val="center"/>
              <w:ind w:right="422"/>
              <w:spacing w:after="0"/>
              <w:rPr>
                <w:sz w:val="20"/>
                <w:szCs w:val="20"/>
                <w:color w:val="auto"/>
              </w:rPr>
            </w:pPr>
            <w:r>
              <w:rPr>
                <w:rFonts w:ascii="Times New Roman" w:cs="Times New Roman" w:eastAsia="Times New Roman" w:hAnsi="Times New Roman"/>
                <w:sz w:val="18"/>
                <w:szCs w:val="18"/>
                <w:b w:val="1"/>
                <w:bCs w:val="1"/>
                <w:color w:val="auto"/>
                <w:w w:val="99"/>
              </w:rPr>
              <w:t>1 Concourse Parkway NE</w:t>
            </w:r>
          </w:p>
        </w:tc>
        <w:tc>
          <w:tcPr>
            <w:tcW w:w="28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16"/>
        </w:trPr>
        <w:tc>
          <w:tcPr>
            <w:tcW w:w="268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rPr>
              <w:t>Suite 200</w:t>
            </w:r>
          </w:p>
        </w:tc>
        <w:tc>
          <w:tcPr>
            <w:tcW w:w="28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8"/>
        </w:trPr>
        <w:tc>
          <w:tcPr>
            <w:tcW w:w="268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w w:val="99"/>
              </w:rPr>
              <w:t>Atlanta, Georgia</w:t>
            </w:r>
          </w:p>
        </w:tc>
        <w:tc>
          <w:tcPr>
            <w:tcW w:w="2820" w:type="dxa"/>
            <w:vAlign w:val="bottom"/>
          </w:tcPr>
          <w:p>
            <w:pPr>
              <w:spacing w:after="0"/>
              <w:rPr>
                <w:sz w:val="18"/>
                <w:szCs w:val="18"/>
                <w:color w:val="auto"/>
              </w:rPr>
            </w:pPr>
          </w:p>
        </w:tc>
        <w:tc>
          <w:tcPr>
            <w:tcW w:w="180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30328</w:t>
            </w:r>
          </w:p>
        </w:tc>
      </w:tr>
      <w:tr>
        <w:trPr>
          <w:trHeight w:val="166"/>
        </w:trPr>
        <w:tc>
          <w:tcPr>
            <w:tcW w:w="2680" w:type="dxa"/>
            <w:vAlign w:val="bottom"/>
          </w:tcPr>
          <w:p>
            <w:pPr>
              <w:jc w:val="center"/>
              <w:ind w:right="442"/>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2820" w:type="dxa"/>
            <w:vAlign w:val="bottom"/>
          </w:tcPr>
          <w:p>
            <w:pPr>
              <w:spacing w:after="0"/>
              <w:rPr>
                <w:sz w:val="14"/>
                <w:szCs w:val="14"/>
                <w:color w:val="auto"/>
              </w:rPr>
            </w:pPr>
          </w:p>
        </w:tc>
        <w:tc>
          <w:tcPr>
            <w:tcW w:w="1800" w:type="dxa"/>
            <w:vAlign w:val="bottom"/>
          </w:tcPr>
          <w:p>
            <w:pPr>
              <w:jc w:val="center"/>
              <w:ind w:left="74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200" w:lineRule="exact"/>
        <w:rPr>
          <w:sz w:val="24"/>
          <w:szCs w:val="24"/>
          <w:color w:val="auto"/>
        </w:rPr>
      </w:pPr>
    </w:p>
    <w:p>
      <w:pPr>
        <w:spacing w:after="0" w:line="22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888 314-9761</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241935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780" w:hanging="336"/>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780" w:hanging="336"/>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780" w:hanging="336"/>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780" w:hanging="336"/>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38"/>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8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FA</w:t>
            </w:r>
          </w:p>
        </w:tc>
        <w:tc>
          <w:tcPr>
            <w:tcW w:w="8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85" w:lineRule="exact"/>
        <w:rPr>
          <w:sz w:val="24"/>
          <w:szCs w:val="24"/>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163195</wp:posOffset>
            </wp:positionV>
            <wp:extent cx="61722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180340</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-429895</wp:posOffset>
            </wp:positionH>
            <wp:positionV relativeFrom="paragraph">
              <wp:posOffset>655955</wp:posOffset>
            </wp:positionV>
            <wp:extent cx="70377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13" w:right="1099" w:bottom="1440" w:gutter="0" w:footer="0" w:header="0"/>
        </w:sectPr>
      </w:pPr>
    </w:p>
    <w:bookmarkStart w:id="1" w:name="page2"/>
    <w:bookmarkEnd w:id="1"/>
    <w:p>
      <w:pPr>
        <w:ind w:left="66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75" w:lineRule="exact"/>
        <w:rPr>
          <w:sz w:val="20"/>
          <w:szCs w:val="20"/>
          <w:color w:val="auto"/>
        </w:rPr>
      </w:pPr>
    </w:p>
    <w:p>
      <w:pPr>
        <w:jc w:val="both"/>
        <w:ind w:left="660" w:right="740"/>
        <w:spacing w:after="0" w:line="266" w:lineRule="auto"/>
        <w:rPr>
          <w:sz w:val="20"/>
          <w:szCs w:val="20"/>
          <w:color w:val="auto"/>
        </w:rPr>
      </w:pPr>
      <w:r>
        <w:rPr>
          <w:rFonts w:ascii="Times New Roman" w:cs="Times New Roman" w:eastAsia="Times New Roman" w:hAnsi="Times New Roman"/>
          <w:sz w:val="18"/>
          <w:szCs w:val="18"/>
          <w:color w:val="auto"/>
        </w:rPr>
        <w:t>On February 27, 2025, First Advantage Corporation (“First Advantage”) issued a press release announcing its financial results for the quarter and year ended December 31, 2024. A copy of the press release is furnished as Exhibit 99.1 to this Current Report on Form 8-K and is incorporated by reference herein.</w:t>
      </w:r>
    </w:p>
    <w:p>
      <w:pPr>
        <w:spacing w:after="0" w:line="122" w:lineRule="exact"/>
        <w:rPr>
          <w:sz w:val="20"/>
          <w:szCs w:val="20"/>
          <w:color w:val="auto"/>
        </w:rPr>
      </w:pPr>
    </w:p>
    <w:p>
      <w:pPr>
        <w:jc w:val="both"/>
        <w:ind w:left="660" w:right="760"/>
        <w:spacing w:after="0" w:line="261" w:lineRule="auto"/>
        <w:rPr>
          <w:sz w:val="20"/>
          <w:szCs w:val="20"/>
          <w:color w:val="auto"/>
        </w:rPr>
      </w:pPr>
      <w:r>
        <w:rPr>
          <w:rFonts w:ascii="Times New Roman" w:cs="Times New Roman" w:eastAsia="Times New Roman" w:hAnsi="Times New Roman"/>
          <w:sz w:val="18"/>
          <w:szCs w:val="18"/>
          <w:color w:val="auto"/>
        </w:rPr>
        <w:t>The information furnished under this Item 2.02, including Exhibit 99.1, shall not be deemed “filed” for purposes of Section 18 of the Securities Exchange Act of 1934, as amended (the “Exchange Act”), or otherwise subject to the liabilities under that section and shall not be deemed to be incorporated by reference into any filing under the Securities Act of 1933, as amended (the “Securities Act”), or the Exchange Act, except as otherwise expressly stated by specific reference in any such filing.</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78"/>
        </w:trPr>
        <w:tc>
          <w:tcPr>
            <w:tcW w:w="72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Exhibit No.</w:t>
            </w:r>
          </w:p>
        </w:tc>
        <w:tc>
          <w:tcPr>
            <w:tcW w:w="20" w:type="dxa"/>
            <w:vAlign w:val="bottom"/>
          </w:tcPr>
          <w:p>
            <w:pPr>
              <w:spacing w:after="0"/>
              <w:rPr>
                <w:sz w:val="24"/>
                <w:szCs w:val="24"/>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720" w:type="dxa"/>
            <w:vAlign w:val="bottom"/>
          </w:tcPr>
          <w:p>
            <w:pPr>
              <w:spacing w:after="0"/>
              <w:rPr>
                <w:sz w:val="24"/>
                <w:szCs w:val="24"/>
                <w:color w:val="auto"/>
              </w:rPr>
            </w:pPr>
          </w:p>
        </w:tc>
      </w:tr>
      <w:tr>
        <w:trPr>
          <w:trHeight w:val="169"/>
        </w:trPr>
        <w:tc>
          <w:tcPr>
            <w:tcW w:w="720" w:type="dxa"/>
            <w:vAlign w:val="bottom"/>
          </w:tcPr>
          <w:p>
            <w:pPr>
              <w:spacing w:after="0"/>
              <w:rPr>
                <w:sz w:val="14"/>
                <w:szCs w:val="14"/>
                <w:color w:val="auto"/>
              </w:rPr>
            </w:pPr>
          </w:p>
        </w:tc>
        <w:tc>
          <w:tcPr>
            <w:tcW w:w="8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18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FF"/>
              </w:rPr>
              <w:t>Press Release of First Advantage Corporation dated February 27, 2025.</w:t>
            </w:r>
          </w:p>
        </w:tc>
        <w:tc>
          <w:tcPr>
            <w:tcW w:w="3320" w:type="dxa"/>
            <w:vAlign w:val="bottom"/>
            <w:tcBorders>
              <w:top w:val="single" w:sz="8" w:color="auto"/>
            </w:tcBorders>
          </w:tcPr>
          <w:p>
            <w:pPr>
              <w:spacing w:after="0"/>
              <w:rPr>
                <w:sz w:val="14"/>
                <w:szCs w:val="14"/>
                <w:color w:val="auto"/>
              </w:rPr>
            </w:pPr>
          </w:p>
        </w:tc>
        <w:tc>
          <w:tcPr>
            <w:tcW w:w="720" w:type="dxa"/>
            <w:vAlign w:val="bottom"/>
          </w:tcPr>
          <w:p>
            <w:pPr>
              <w:spacing w:after="0"/>
              <w:rPr>
                <w:sz w:val="14"/>
                <w:szCs w:val="14"/>
                <w:color w:val="auto"/>
              </w:rPr>
            </w:pPr>
          </w:p>
        </w:tc>
      </w:tr>
      <w:tr>
        <w:trPr>
          <w:trHeight w:val="237"/>
        </w:trPr>
        <w:tc>
          <w:tcPr>
            <w:tcW w:w="16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720" w:type="dxa"/>
            <w:vAlign w:val="bottom"/>
          </w:tcPr>
          <w:p>
            <w:pPr>
              <w:spacing w:after="0"/>
              <w:rPr>
                <w:sz w:val="20"/>
                <w:szCs w:val="20"/>
                <w:color w:val="auto"/>
              </w:rPr>
            </w:pPr>
          </w:p>
        </w:tc>
      </w:tr>
      <w:tr>
        <w:trPr>
          <w:trHeight w:val="1303"/>
        </w:trPr>
        <w:tc>
          <w:tcPr>
            <w:tcW w:w="7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927" w:right="4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FIRST ADVANTAGE CORPORATION</w:t>
      </w:r>
    </w:p>
    <w:p>
      <w:pPr>
        <w:spacing w:after="0" w:line="374" w:lineRule="exact"/>
        <w:rPr>
          <w:sz w:val="20"/>
          <w:szCs w:val="20"/>
          <w:color w:val="auto"/>
        </w:rPr>
      </w:pPr>
    </w:p>
    <w:p>
      <w:pPr>
        <w:ind w:left="20"/>
        <w:spacing w:after="0"/>
        <w:tabs>
          <w:tab w:leader="none" w:pos="600" w:val="left"/>
          <w:tab w:leader="none" w:pos="4880" w:val="left"/>
        </w:tabs>
        <w:rPr>
          <w:sz w:val="20"/>
          <w:szCs w:val="20"/>
          <w:color w:val="auto"/>
        </w:rPr>
      </w:pPr>
      <w:r>
        <w:rPr>
          <w:rFonts w:ascii="Times New Roman" w:cs="Times New Roman" w:eastAsia="Times New Roman" w:hAnsi="Times New Roman"/>
          <w:sz w:val="18"/>
          <w:szCs w:val="18"/>
          <w:color w:val="auto"/>
        </w:rPr>
        <w:t>Date:</w:t>
        <w:tab/>
        <w:t>February 27, 2025</w:t>
      </w:r>
      <w:r>
        <w:rPr>
          <w:sz w:val="20"/>
          <w:szCs w:val="20"/>
          <w:color w:val="auto"/>
        </w:rPr>
        <w:tab/>
      </w:r>
      <w:r>
        <w:rPr>
          <w:rFonts w:ascii="Times New Roman" w:cs="Times New Roman" w:eastAsia="Times New Roman" w:hAnsi="Times New Roman"/>
          <w:sz w:val="18"/>
          <w:szCs w:val="18"/>
          <w:color w:val="auto"/>
        </w:rPr>
        <w:t>By: /s/ Steven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17145</wp:posOffset>
            </wp:positionV>
            <wp:extent cx="28371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Name: Steven Marks</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Title: Executive Vice President &amp;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987425</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440"/>
          </w:cols>
          <w:pgMar w:left="1080" w:top="765" w:right="1379" w:bottom="1440" w:gutter="0" w:footer="0" w:header="0"/>
        </w:sectPr>
      </w:pPr>
    </w:p>
    <w:bookmarkStart w:id="3" w:name="page4"/>
    <w:bookmarkEnd w:id="3"/>
    <w:p>
      <w:pPr>
        <w:ind w:left="880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2528570" cy="522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2857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20"/>
        <w:spacing w:after="0"/>
        <w:rPr>
          <w:sz w:val="20"/>
          <w:szCs w:val="20"/>
          <w:color w:val="auto"/>
        </w:rPr>
      </w:pPr>
      <w:r>
        <w:rPr>
          <w:rFonts w:ascii="Arial" w:cs="Arial" w:eastAsia="Arial" w:hAnsi="Arial"/>
          <w:sz w:val="25"/>
          <w:szCs w:val="25"/>
          <w:b w:val="1"/>
          <w:bCs w:val="1"/>
          <w:color w:val="auto"/>
        </w:rPr>
        <w:t>First Advantage Reports Fourth Quarter and Full Year 2024 Results</w:t>
      </w:r>
    </w:p>
    <w:p>
      <w:pPr>
        <w:spacing w:after="0" w:line="189" w:lineRule="exact"/>
        <w:rPr>
          <w:sz w:val="20"/>
          <w:szCs w:val="20"/>
          <w:color w:val="auto"/>
        </w:rPr>
      </w:pPr>
    </w:p>
    <w:p>
      <w:pPr>
        <w:ind w:left="840"/>
        <w:spacing w:after="0"/>
        <w:rPr>
          <w:sz w:val="20"/>
          <w:szCs w:val="20"/>
          <w:color w:val="auto"/>
        </w:rPr>
      </w:pPr>
      <w:r>
        <w:rPr>
          <w:rFonts w:ascii="Arial" w:cs="Arial" w:eastAsia="Arial" w:hAnsi="Arial"/>
          <w:sz w:val="25"/>
          <w:szCs w:val="25"/>
          <w:b w:val="1"/>
          <w:bCs w:val="1"/>
          <w:i w:val="1"/>
          <w:iCs w:val="1"/>
          <w:color w:val="auto"/>
        </w:rPr>
        <w:t>Completed Acquisition of Sterling; Issues Full Year 2025 Guidance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2024 Highlights</w:t>
      </w:r>
      <w:r>
        <w:rPr>
          <w:rFonts w:ascii="Arial" w:cs="Arial" w:eastAsia="Arial" w:hAnsi="Arial"/>
          <w:sz w:val="26"/>
          <w:szCs w:val="26"/>
          <w:b w:val="1"/>
          <w:bCs w:val="1"/>
          <w:color w:val="auto"/>
          <w:vertAlign w:val="superscript"/>
        </w:rPr>
        <w:t>1</w:t>
      </w:r>
    </w:p>
    <w:p>
      <w:pPr>
        <w:spacing w:after="0" w:line="108" w:lineRule="exact"/>
        <w:rPr>
          <w:sz w:val="20"/>
          <w:szCs w:val="20"/>
          <w:color w:val="auto"/>
        </w:rPr>
      </w:pPr>
    </w:p>
    <w:p>
      <w:pPr>
        <w:ind w:left="320" w:hanging="316"/>
        <w:spacing w:after="0"/>
        <w:tabs>
          <w:tab w:leader="none" w:pos="3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Revenues of $860.2 million</w:t>
      </w:r>
    </w:p>
    <w:p>
      <w:pPr>
        <w:spacing w:after="0" w:line="16" w:lineRule="exact"/>
        <w:rPr>
          <w:rFonts w:ascii="Times New Roman" w:cs="Times New Roman" w:eastAsia="Times New Roman" w:hAnsi="Times New Roman"/>
          <w:sz w:val="20"/>
          <w:szCs w:val="20"/>
          <w:color w:val="auto"/>
        </w:rPr>
      </w:pPr>
    </w:p>
    <w:p>
      <w:pPr>
        <w:ind w:left="320" w:hanging="316"/>
        <w:spacing w:after="0" w:line="224" w:lineRule="auto"/>
        <w:tabs>
          <w:tab w:leader="none" w:pos="3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Net Loss of $(110.3) million, a net loss margin of (12.8)%, includes $130.5 million of expenses incurred related to the acquisition of Sterling Check Corp. (“Sterling”)</w:t>
      </w:r>
    </w:p>
    <w:p>
      <w:pPr>
        <w:spacing w:after="0" w:line="1" w:lineRule="exact"/>
        <w:rPr>
          <w:rFonts w:ascii="Times New Roman" w:cs="Times New Roman" w:eastAsia="Times New Roman" w:hAnsi="Times New Roman"/>
          <w:sz w:val="20"/>
          <w:szCs w:val="20"/>
          <w:color w:val="auto"/>
        </w:rPr>
      </w:pPr>
    </w:p>
    <w:p>
      <w:pPr>
        <w:ind w:left="320" w:hanging="316"/>
        <w:spacing w:after="0" w:line="238" w:lineRule="auto"/>
        <w:tabs>
          <w:tab w:leader="none" w:pos="3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Adjusted Net Income of $123.7 million</w:t>
      </w:r>
    </w:p>
    <w:p>
      <w:pPr>
        <w:ind w:left="320" w:hanging="316"/>
        <w:spacing w:after="0" w:line="238" w:lineRule="auto"/>
        <w:tabs>
          <w:tab w:leader="none" w:pos="3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Adjusted EBITDA of $249.3 million; Adjusted EBITDA Margin of 29.0%</w:t>
      </w:r>
    </w:p>
    <w:p>
      <w:pPr>
        <w:ind w:left="320" w:hanging="316"/>
        <w:spacing w:after="0" w:line="224" w:lineRule="auto"/>
        <w:tabs>
          <w:tab w:leader="none" w:pos="3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GAAP Diluted Net Loss Per Share of $(0.74), includes $0.66 per share of expenses incurred related to the Sterling acquisition</w:t>
      </w:r>
    </w:p>
    <w:p>
      <w:pPr>
        <w:spacing w:after="0" w:line="1" w:lineRule="exact"/>
        <w:rPr>
          <w:rFonts w:ascii="Times New Roman" w:cs="Times New Roman" w:eastAsia="Times New Roman" w:hAnsi="Times New Roman"/>
          <w:sz w:val="20"/>
          <w:szCs w:val="20"/>
          <w:color w:val="auto"/>
        </w:rPr>
      </w:pPr>
    </w:p>
    <w:p>
      <w:pPr>
        <w:ind w:left="320" w:hanging="316"/>
        <w:spacing w:after="0" w:line="238" w:lineRule="auto"/>
        <w:tabs>
          <w:tab w:leader="none" w:pos="3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Adjusted Diluted Earnings Per Share of $0.82</w:t>
      </w:r>
    </w:p>
    <w:p>
      <w:pPr>
        <w:ind w:left="320" w:hanging="316"/>
        <w:spacing w:after="0" w:line="224" w:lineRule="auto"/>
        <w:tabs>
          <w:tab w:leader="none" w:pos="3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Cash Flows from Operations of $28.2 million; Adjusted Operating Cash Flows of $164.5 million, after adjusting for $136.3 million of cash costs directly associated with the Sterling acquisition</w:t>
      </w:r>
    </w:p>
    <w:p>
      <w:pPr>
        <w:spacing w:after="0" w:line="1" w:lineRule="exact"/>
        <w:rPr>
          <w:rFonts w:ascii="Times New Roman" w:cs="Times New Roman" w:eastAsia="Times New Roman" w:hAnsi="Times New Roman"/>
          <w:sz w:val="20"/>
          <w:szCs w:val="20"/>
          <w:color w:val="auto"/>
        </w:rPr>
      </w:pPr>
    </w:p>
    <w:p>
      <w:pPr>
        <w:ind w:left="320" w:hanging="316"/>
        <w:spacing w:after="0"/>
        <w:tabs>
          <w:tab w:leader="none" w:pos="3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Closed the Sterling acquisition on October 31, 2024, which was first announced on February 29, 2024</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2024 Highlights</w:t>
      </w:r>
      <w:r>
        <w:rPr>
          <w:rFonts w:ascii="Arial" w:cs="Arial" w:eastAsia="Arial" w:hAnsi="Arial"/>
          <w:sz w:val="26"/>
          <w:szCs w:val="26"/>
          <w:b w:val="1"/>
          <w:bCs w:val="1"/>
          <w:color w:val="auto"/>
          <w:vertAlign w:val="superscript"/>
        </w:rPr>
        <w:t>1</w:t>
      </w:r>
    </w:p>
    <w:p>
      <w:pPr>
        <w:spacing w:after="0" w:line="95" w:lineRule="exact"/>
        <w:rPr>
          <w:sz w:val="20"/>
          <w:szCs w:val="20"/>
          <w:color w:val="auto"/>
        </w:rPr>
      </w:pPr>
    </w:p>
    <w:p>
      <w:pPr>
        <w:ind w:left="320" w:hanging="316"/>
        <w:spacing w:after="0"/>
        <w:tabs>
          <w:tab w:leader="none" w:pos="3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Revenues of $307.1 million</w:t>
      </w:r>
    </w:p>
    <w:p>
      <w:pPr>
        <w:spacing w:after="0" w:line="16" w:lineRule="exact"/>
        <w:rPr>
          <w:rFonts w:ascii="Times New Roman" w:cs="Times New Roman" w:eastAsia="Times New Roman" w:hAnsi="Times New Roman"/>
          <w:sz w:val="20"/>
          <w:szCs w:val="20"/>
          <w:color w:val="auto"/>
        </w:rPr>
      </w:pPr>
    </w:p>
    <w:p>
      <w:pPr>
        <w:ind w:left="320" w:hanging="316"/>
        <w:spacing w:after="0" w:line="224" w:lineRule="auto"/>
        <w:tabs>
          <w:tab w:leader="none" w:pos="3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Net Loss of $(100.4) million, a net loss margin of (32.7)%, includes $97.1 million of expenses incurred related to the acquisition of Sterling</w:t>
      </w:r>
    </w:p>
    <w:p>
      <w:pPr>
        <w:spacing w:after="0" w:line="1" w:lineRule="exact"/>
        <w:rPr>
          <w:rFonts w:ascii="Times New Roman" w:cs="Times New Roman" w:eastAsia="Times New Roman" w:hAnsi="Times New Roman"/>
          <w:sz w:val="20"/>
          <w:szCs w:val="20"/>
          <w:color w:val="auto"/>
        </w:rPr>
      </w:pPr>
    </w:p>
    <w:p>
      <w:pPr>
        <w:ind w:left="320" w:hanging="316"/>
        <w:spacing w:after="0" w:line="238" w:lineRule="auto"/>
        <w:tabs>
          <w:tab w:leader="none" w:pos="3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Adjusted Net Income of $30.2 million</w:t>
      </w:r>
    </w:p>
    <w:p>
      <w:pPr>
        <w:ind w:left="320" w:hanging="316"/>
        <w:spacing w:after="0" w:line="238" w:lineRule="auto"/>
        <w:tabs>
          <w:tab w:leader="none" w:pos="3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Adjusted EBITDA of $82.9 million; Adjusted EBITDA Margin of 27.0%</w:t>
      </w:r>
    </w:p>
    <w:p>
      <w:pPr>
        <w:ind w:left="320" w:hanging="316"/>
        <w:spacing w:after="0" w:line="224" w:lineRule="auto"/>
        <w:tabs>
          <w:tab w:leader="none" w:pos="3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GAAP Diluted Net Loss Per Share of $(0.62), includes $0.43 per share of expenses incurred related to the Sterling acquisition</w:t>
      </w:r>
    </w:p>
    <w:p>
      <w:pPr>
        <w:spacing w:after="0" w:line="1" w:lineRule="exact"/>
        <w:rPr>
          <w:rFonts w:ascii="Times New Roman" w:cs="Times New Roman" w:eastAsia="Times New Roman" w:hAnsi="Times New Roman"/>
          <w:sz w:val="20"/>
          <w:szCs w:val="20"/>
          <w:color w:val="auto"/>
        </w:rPr>
      </w:pPr>
    </w:p>
    <w:p>
      <w:pPr>
        <w:ind w:left="320" w:hanging="316"/>
        <w:spacing w:after="0" w:line="238" w:lineRule="auto"/>
        <w:tabs>
          <w:tab w:leader="none" w:pos="3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Adjusted Diluted Earnings Per Share of $0.18</w:t>
      </w:r>
    </w:p>
    <w:p>
      <w:pPr>
        <w:ind w:left="320" w:hanging="316"/>
        <w:spacing w:after="0" w:line="239" w:lineRule="auto"/>
        <w:tabs>
          <w:tab w:leader="none" w:pos="3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Cash Flows from Operations of $(85.7) million; Adjusted Operating Cash Flows of $39.4 million, after adjusting for $125.1 million of cash costs directly associated with the Sterling acquisition</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2025 Guidance</w:t>
      </w:r>
    </w:p>
    <w:p>
      <w:pPr>
        <w:spacing w:after="0" w:line="164" w:lineRule="exact"/>
        <w:rPr>
          <w:sz w:val="20"/>
          <w:szCs w:val="20"/>
          <w:color w:val="auto"/>
        </w:rPr>
      </w:pPr>
    </w:p>
    <w:p>
      <w:pPr>
        <w:jc w:val="both"/>
        <w:ind w:left="320" w:hanging="316"/>
        <w:spacing w:after="0" w:line="256" w:lineRule="auto"/>
        <w:tabs>
          <w:tab w:leader="none" w:pos="3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Introducing full year 2025 guidance ranges, including the expected benefits of synergies, for Revenues of $1.5 billion to $1.6 billion, Adjusted EBITDA of $410 million to $450 million, Adjusted Net Income of $152 million to $182 million, and Adjusted Diluted Earnings Per Share of $0.86 to $1.03</w:t>
      </w:r>
      <w:r>
        <w:rPr>
          <w:rFonts w:ascii="Arial" w:cs="Arial" w:eastAsia="Arial" w:hAnsi="Arial"/>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643890</wp:posOffset>
            </wp:positionV>
            <wp:extent cx="70377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4" w:name="page5"/>
    <w:bookmarkEnd w:id="4"/>
    <w:p>
      <w:pPr>
        <w:jc w:val="both"/>
        <w:spacing w:after="0" w:line="241" w:lineRule="auto"/>
        <w:rPr>
          <w:sz w:val="20"/>
          <w:szCs w:val="20"/>
          <w:color w:val="auto"/>
        </w:rPr>
      </w:pPr>
      <w:r>
        <w:rPr>
          <w:rFonts w:ascii="Arial" w:cs="Arial" w:eastAsia="Arial" w:hAnsi="Arial"/>
          <w:sz w:val="20"/>
          <w:szCs w:val="20"/>
          <w:color w:val="auto"/>
        </w:rPr>
        <w:t>ATLANTA, February 27, 2025 – First Advantage Corporation (NASDAQ: FA), a leading global provider of employment background screening, identity, and verification solutions, today announced financial results for the fourth quarter and full year ended December 31, 2024.</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Financials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(Amounts in millions, except per share data and percentages)</w:t>
      </w:r>
    </w:p>
    <w:p>
      <w:pPr>
        <w:spacing w:after="0" w:line="121"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3340" w:type="dxa"/>
            <w:vAlign w:val="bottom"/>
            <w:shd w:val="clear" w:color="auto" w:fill="008656"/>
          </w:tcPr>
          <w:p>
            <w:pPr>
              <w:spacing w:after="0"/>
              <w:rPr>
                <w:sz w:val="19"/>
                <w:szCs w:val="19"/>
                <w:color w:val="auto"/>
              </w:rPr>
            </w:pPr>
          </w:p>
        </w:tc>
        <w:tc>
          <w:tcPr>
            <w:tcW w:w="280" w:type="dxa"/>
            <w:vAlign w:val="bottom"/>
            <w:shd w:val="clear" w:color="auto" w:fill="008656"/>
          </w:tcPr>
          <w:p>
            <w:pPr>
              <w:spacing w:after="0"/>
              <w:rPr>
                <w:sz w:val="19"/>
                <w:szCs w:val="19"/>
                <w:color w:val="auto"/>
              </w:rPr>
            </w:pPr>
          </w:p>
        </w:tc>
        <w:tc>
          <w:tcPr>
            <w:tcW w:w="2520" w:type="dxa"/>
            <w:vAlign w:val="bottom"/>
            <w:gridSpan w:val="3"/>
            <w:shd w:val="clear" w:color="auto" w:fill="008656"/>
          </w:tcPr>
          <w:p>
            <w:pPr>
              <w:jc w:val="right"/>
              <w:ind w:right="401"/>
              <w:spacing w:after="0"/>
              <w:rPr>
                <w:sz w:val="20"/>
                <w:szCs w:val="20"/>
                <w:color w:val="auto"/>
              </w:rPr>
            </w:pPr>
            <w:r>
              <w:rPr>
                <w:rFonts w:ascii="Arial" w:cs="Arial" w:eastAsia="Arial" w:hAnsi="Arial"/>
                <w:sz w:val="20"/>
                <w:szCs w:val="20"/>
                <w:b w:val="1"/>
                <w:bCs w:val="1"/>
                <w:color w:val="FFFFFF"/>
              </w:rPr>
              <w:t>Three Months Ended</w:t>
            </w:r>
          </w:p>
        </w:tc>
        <w:tc>
          <w:tcPr>
            <w:tcW w:w="280" w:type="dxa"/>
            <w:vAlign w:val="bottom"/>
            <w:shd w:val="clear" w:color="auto" w:fill="008656"/>
          </w:tcPr>
          <w:p>
            <w:pPr>
              <w:spacing w:after="0"/>
              <w:rPr>
                <w:sz w:val="19"/>
                <w:szCs w:val="19"/>
                <w:color w:val="auto"/>
              </w:rPr>
            </w:pPr>
          </w:p>
        </w:tc>
        <w:tc>
          <w:tcPr>
            <w:tcW w:w="1620" w:type="dxa"/>
            <w:vAlign w:val="bottom"/>
            <w:gridSpan w:val="2"/>
            <w:shd w:val="clear" w:color="auto" w:fill="008656"/>
          </w:tcPr>
          <w:p>
            <w:pPr>
              <w:jc w:val="right"/>
              <w:ind w:right="21"/>
              <w:spacing w:after="0"/>
              <w:rPr>
                <w:sz w:val="20"/>
                <w:szCs w:val="20"/>
                <w:color w:val="auto"/>
              </w:rPr>
            </w:pPr>
            <w:r>
              <w:rPr>
                <w:rFonts w:ascii="Arial" w:cs="Arial" w:eastAsia="Arial" w:hAnsi="Arial"/>
                <w:sz w:val="20"/>
                <w:szCs w:val="20"/>
                <w:b w:val="1"/>
                <w:bCs w:val="1"/>
                <w:color w:val="FFFFFF"/>
              </w:rPr>
              <w:t>Year Ended</w:t>
            </w:r>
          </w:p>
        </w:tc>
        <w:tc>
          <w:tcPr>
            <w:tcW w:w="720" w:type="dxa"/>
            <w:vAlign w:val="bottom"/>
            <w:shd w:val="clear" w:color="auto" w:fill="008656"/>
          </w:tcPr>
          <w:p>
            <w:pPr>
              <w:spacing w:after="0"/>
              <w:rPr>
                <w:sz w:val="19"/>
                <w:szCs w:val="19"/>
                <w:color w:val="auto"/>
              </w:rPr>
            </w:pPr>
          </w:p>
        </w:tc>
      </w:tr>
      <w:tr>
        <w:trPr>
          <w:trHeight w:val="230"/>
        </w:trPr>
        <w:tc>
          <w:tcPr>
            <w:tcW w:w="3340" w:type="dxa"/>
            <w:vAlign w:val="bottom"/>
            <w:shd w:val="clear" w:color="auto" w:fill="008656"/>
          </w:tcPr>
          <w:p>
            <w:pPr>
              <w:spacing w:after="0"/>
              <w:rPr>
                <w:sz w:val="19"/>
                <w:szCs w:val="19"/>
                <w:color w:val="auto"/>
              </w:rPr>
            </w:pPr>
          </w:p>
        </w:tc>
        <w:tc>
          <w:tcPr>
            <w:tcW w:w="280" w:type="dxa"/>
            <w:vAlign w:val="bottom"/>
            <w:shd w:val="clear" w:color="auto" w:fill="008656"/>
          </w:tcPr>
          <w:p>
            <w:pPr>
              <w:spacing w:after="0"/>
              <w:rPr>
                <w:sz w:val="19"/>
                <w:szCs w:val="19"/>
                <w:color w:val="auto"/>
              </w:rPr>
            </w:pPr>
          </w:p>
        </w:tc>
        <w:tc>
          <w:tcPr>
            <w:tcW w:w="2520" w:type="dxa"/>
            <w:vAlign w:val="bottom"/>
            <w:gridSpan w:val="3"/>
            <w:shd w:val="clear" w:color="auto" w:fill="008656"/>
          </w:tcPr>
          <w:p>
            <w:pPr>
              <w:jc w:val="right"/>
              <w:ind w:right="721"/>
              <w:spacing w:after="0"/>
              <w:rPr>
                <w:sz w:val="20"/>
                <w:szCs w:val="20"/>
                <w:color w:val="auto"/>
              </w:rPr>
            </w:pPr>
            <w:r>
              <w:rPr>
                <w:rFonts w:ascii="Arial" w:cs="Arial" w:eastAsia="Arial" w:hAnsi="Arial"/>
                <w:sz w:val="20"/>
                <w:szCs w:val="20"/>
                <w:b w:val="1"/>
                <w:bCs w:val="1"/>
                <w:color w:val="FFFFFF"/>
              </w:rPr>
              <w:t>December 31,</w:t>
            </w:r>
          </w:p>
        </w:tc>
        <w:tc>
          <w:tcPr>
            <w:tcW w:w="280" w:type="dxa"/>
            <w:vAlign w:val="bottom"/>
            <w:shd w:val="clear" w:color="auto" w:fill="008656"/>
          </w:tcPr>
          <w:p>
            <w:pPr>
              <w:spacing w:after="0"/>
              <w:rPr>
                <w:sz w:val="19"/>
                <w:szCs w:val="19"/>
                <w:color w:val="auto"/>
              </w:rPr>
            </w:pPr>
          </w:p>
        </w:tc>
        <w:tc>
          <w:tcPr>
            <w:tcW w:w="1620" w:type="dxa"/>
            <w:vAlign w:val="bottom"/>
            <w:gridSpan w:val="2"/>
            <w:shd w:val="clear" w:color="auto" w:fill="008656"/>
          </w:tcPr>
          <w:p>
            <w:pPr>
              <w:jc w:val="right"/>
              <w:spacing w:after="0"/>
              <w:rPr>
                <w:sz w:val="20"/>
                <w:szCs w:val="20"/>
                <w:color w:val="auto"/>
              </w:rPr>
            </w:pPr>
            <w:r>
              <w:rPr>
                <w:rFonts w:ascii="Arial" w:cs="Arial" w:eastAsia="Arial" w:hAnsi="Arial"/>
                <w:sz w:val="20"/>
                <w:szCs w:val="20"/>
                <w:b w:val="1"/>
                <w:bCs w:val="1"/>
                <w:color w:val="FFFFFF"/>
              </w:rPr>
              <w:t>December 31,</w:t>
            </w:r>
          </w:p>
        </w:tc>
        <w:tc>
          <w:tcPr>
            <w:tcW w:w="720" w:type="dxa"/>
            <w:vAlign w:val="bottom"/>
            <w:shd w:val="clear" w:color="auto" w:fill="008656"/>
          </w:tcPr>
          <w:p>
            <w:pPr>
              <w:spacing w:after="0"/>
              <w:rPr>
                <w:sz w:val="19"/>
                <w:szCs w:val="19"/>
                <w:color w:val="auto"/>
              </w:rPr>
            </w:pPr>
          </w:p>
        </w:tc>
      </w:tr>
      <w:tr>
        <w:trPr>
          <w:trHeight w:val="240"/>
        </w:trPr>
        <w:tc>
          <w:tcPr>
            <w:tcW w:w="3340" w:type="dxa"/>
            <w:vAlign w:val="bottom"/>
            <w:shd w:val="clear" w:color="auto" w:fill="008656"/>
          </w:tcPr>
          <w:p>
            <w:pPr>
              <w:spacing w:after="0"/>
              <w:rPr>
                <w:sz w:val="20"/>
                <w:szCs w:val="20"/>
                <w:color w:val="auto"/>
              </w:rPr>
            </w:pPr>
          </w:p>
        </w:tc>
        <w:tc>
          <w:tcPr>
            <w:tcW w:w="280" w:type="dxa"/>
            <w:vAlign w:val="bottom"/>
            <w:shd w:val="clear" w:color="auto" w:fill="008656"/>
          </w:tcPr>
          <w:p>
            <w:pPr>
              <w:spacing w:after="0"/>
              <w:rPr>
                <w:sz w:val="20"/>
                <w:szCs w:val="20"/>
                <w:color w:val="auto"/>
              </w:rPr>
            </w:pPr>
          </w:p>
        </w:tc>
        <w:tc>
          <w:tcPr>
            <w:tcW w:w="1180" w:type="dxa"/>
            <w:vAlign w:val="bottom"/>
            <w:shd w:val="clear" w:color="auto" w:fill="008656"/>
          </w:tcPr>
          <w:p>
            <w:pPr>
              <w:jc w:val="right"/>
              <w:ind w:right="521"/>
              <w:spacing w:after="0"/>
              <w:rPr>
                <w:sz w:val="20"/>
                <w:szCs w:val="20"/>
                <w:color w:val="auto"/>
              </w:rPr>
            </w:pPr>
            <w:r>
              <w:rPr>
                <w:rFonts w:ascii="Arial" w:cs="Arial" w:eastAsia="Arial" w:hAnsi="Arial"/>
                <w:sz w:val="20"/>
                <w:szCs w:val="20"/>
                <w:b w:val="1"/>
                <w:bCs w:val="1"/>
                <w:color w:val="FFFFFF"/>
              </w:rPr>
              <w:t>2024</w:t>
            </w:r>
          </w:p>
        </w:tc>
        <w:tc>
          <w:tcPr>
            <w:tcW w:w="280" w:type="dxa"/>
            <w:vAlign w:val="bottom"/>
            <w:shd w:val="clear" w:color="auto" w:fill="008656"/>
          </w:tcPr>
          <w:p>
            <w:pPr>
              <w:spacing w:after="0"/>
              <w:rPr>
                <w:sz w:val="20"/>
                <w:szCs w:val="20"/>
                <w:color w:val="auto"/>
              </w:rPr>
            </w:pPr>
          </w:p>
        </w:tc>
        <w:tc>
          <w:tcPr>
            <w:tcW w:w="1060" w:type="dxa"/>
            <w:vAlign w:val="bottom"/>
            <w:shd w:val="clear" w:color="auto" w:fill="008656"/>
          </w:tcPr>
          <w:p>
            <w:pPr>
              <w:jc w:val="right"/>
              <w:ind w:right="441"/>
              <w:spacing w:after="0"/>
              <w:rPr>
                <w:sz w:val="20"/>
                <w:szCs w:val="20"/>
                <w:color w:val="auto"/>
              </w:rPr>
            </w:pPr>
            <w:r>
              <w:rPr>
                <w:rFonts w:ascii="Arial" w:cs="Arial" w:eastAsia="Arial" w:hAnsi="Arial"/>
                <w:sz w:val="20"/>
                <w:szCs w:val="20"/>
                <w:b w:val="1"/>
                <w:bCs w:val="1"/>
                <w:color w:val="FFFFFF"/>
              </w:rPr>
              <w:t>2023</w:t>
            </w:r>
          </w:p>
        </w:tc>
        <w:tc>
          <w:tcPr>
            <w:tcW w:w="280" w:type="dxa"/>
            <w:vAlign w:val="bottom"/>
            <w:shd w:val="clear" w:color="auto" w:fill="008656"/>
          </w:tcPr>
          <w:p>
            <w:pPr>
              <w:spacing w:after="0"/>
              <w:rPr>
                <w:sz w:val="20"/>
                <w:szCs w:val="20"/>
                <w:color w:val="auto"/>
              </w:rPr>
            </w:pPr>
          </w:p>
        </w:tc>
        <w:tc>
          <w:tcPr>
            <w:tcW w:w="1200" w:type="dxa"/>
            <w:vAlign w:val="bottom"/>
            <w:shd w:val="clear" w:color="auto" w:fill="008656"/>
          </w:tcPr>
          <w:p>
            <w:pPr>
              <w:jc w:val="right"/>
              <w:ind w:right="561"/>
              <w:spacing w:after="0"/>
              <w:rPr>
                <w:sz w:val="20"/>
                <w:szCs w:val="20"/>
                <w:color w:val="auto"/>
              </w:rPr>
            </w:pPr>
            <w:r>
              <w:rPr>
                <w:rFonts w:ascii="Arial" w:cs="Arial" w:eastAsia="Arial" w:hAnsi="Arial"/>
                <w:sz w:val="20"/>
                <w:szCs w:val="20"/>
                <w:b w:val="1"/>
                <w:bCs w:val="1"/>
                <w:color w:val="FFFFFF"/>
              </w:rPr>
              <w:t>2024</w:t>
            </w:r>
          </w:p>
        </w:tc>
        <w:tc>
          <w:tcPr>
            <w:tcW w:w="1140" w:type="dxa"/>
            <w:vAlign w:val="bottom"/>
            <w:gridSpan w:val="2"/>
            <w:shd w:val="clear" w:color="auto" w:fill="008656"/>
          </w:tcPr>
          <w:p>
            <w:pPr>
              <w:jc w:val="right"/>
              <w:ind w:right="321"/>
              <w:spacing w:after="0"/>
              <w:rPr>
                <w:sz w:val="20"/>
                <w:szCs w:val="20"/>
                <w:color w:val="auto"/>
              </w:rPr>
            </w:pPr>
            <w:r>
              <w:rPr>
                <w:rFonts w:ascii="Arial" w:cs="Arial" w:eastAsia="Arial" w:hAnsi="Arial"/>
                <w:sz w:val="20"/>
                <w:szCs w:val="20"/>
                <w:b w:val="1"/>
                <w:bCs w:val="1"/>
                <w:color w:val="FFFFFF"/>
              </w:rPr>
              <w:t>2023</w:t>
            </w:r>
          </w:p>
        </w:tc>
      </w:tr>
      <w:tr>
        <w:trPr>
          <w:trHeight w:val="216"/>
        </w:trPr>
        <w:tc>
          <w:tcPr>
            <w:tcW w:w="3340" w:type="dxa"/>
            <w:vAlign w:val="bottom"/>
            <w:shd w:val="clear" w:color="auto" w:fill="D9D9D9"/>
          </w:tcPr>
          <w:p>
            <w:pPr>
              <w:ind w:left="20"/>
              <w:spacing w:after="0" w:line="216" w:lineRule="exact"/>
              <w:rPr>
                <w:sz w:val="20"/>
                <w:szCs w:val="20"/>
                <w:color w:val="auto"/>
              </w:rPr>
            </w:pPr>
            <w:r>
              <w:rPr>
                <w:rFonts w:ascii="Arial" w:cs="Arial" w:eastAsia="Arial" w:hAnsi="Arial"/>
                <w:sz w:val="20"/>
                <w:szCs w:val="20"/>
                <w:color w:val="auto"/>
              </w:rPr>
              <w:t>Revenues</w:t>
            </w:r>
          </w:p>
        </w:tc>
        <w:tc>
          <w:tcPr>
            <w:tcW w:w="280" w:type="dxa"/>
            <w:vAlign w:val="bottom"/>
            <w:shd w:val="clear" w:color="auto" w:fill="D9D9D9"/>
          </w:tcPr>
          <w:p>
            <w:pPr>
              <w:jc w:val="right"/>
              <w:spacing w:after="0" w:line="216" w:lineRule="exact"/>
              <w:rPr>
                <w:sz w:val="20"/>
                <w:szCs w:val="20"/>
                <w:color w:val="auto"/>
              </w:rPr>
            </w:pPr>
            <w:r>
              <w:rPr>
                <w:rFonts w:ascii="Arial" w:cs="Arial" w:eastAsia="Arial" w:hAnsi="Arial"/>
                <w:sz w:val="20"/>
                <w:szCs w:val="20"/>
                <w:color w:val="auto"/>
              </w:rPr>
              <w:t>$</w:t>
            </w:r>
          </w:p>
        </w:tc>
        <w:tc>
          <w:tcPr>
            <w:tcW w:w="1180" w:type="dxa"/>
            <w:vAlign w:val="bottom"/>
            <w:shd w:val="clear" w:color="auto" w:fill="D9D9D9"/>
          </w:tcPr>
          <w:p>
            <w:pPr>
              <w:jc w:val="right"/>
              <w:ind w:right="241"/>
              <w:spacing w:after="0" w:line="216" w:lineRule="exact"/>
              <w:rPr>
                <w:sz w:val="20"/>
                <w:szCs w:val="20"/>
                <w:color w:val="auto"/>
              </w:rPr>
            </w:pPr>
            <w:r>
              <w:rPr>
                <w:rFonts w:ascii="Arial" w:cs="Arial" w:eastAsia="Arial" w:hAnsi="Arial"/>
                <w:sz w:val="20"/>
                <w:szCs w:val="20"/>
                <w:color w:val="auto"/>
              </w:rPr>
              <w:t>307.1</w:t>
            </w:r>
          </w:p>
        </w:tc>
        <w:tc>
          <w:tcPr>
            <w:tcW w:w="280" w:type="dxa"/>
            <w:vAlign w:val="bottom"/>
            <w:shd w:val="clear" w:color="auto" w:fill="D9D9D9"/>
          </w:tcPr>
          <w:p>
            <w:pPr>
              <w:jc w:val="right"/>
              <w:spacing w:after="0" w:line="216" w:lineRule="exact"/>
              <w:rPr>
                <w:sz w:val="20"/>
                <w:szCs w:val="20"/>
                <w:color w:val="auto"/>
              </w:rPr>
            </w:pPr>
            <w:r>
              <w:rPr>
                <w:rFonts w:ascii="Arial" w:cs="Arial" w:eastAsia="Arial" w:hAnsi="Arial"/>
                <w:sz w:val="20"/>
                <w:szCs w:val="20"/>
                <w:color w:val="auto"/>
              </w:rPr>
              <w:t>$</w:t>
            </w:r>
          </w:p>
        </w:tc>
        <w:tc>
          <w:tcPr>
            <w:tcW w:w="1060" w:type="dxa"/>
            <w:vAlign w:val="bottom"/>
            <w:shd w:val="clear" w:color="auto" w:fill="D9D9D9"/>
          </w:tcPr>
          <w:p>
            <w:pPr>
              <w:jc w:val="right"/>
              <w:ind w:right="161"/>
              <w:spacing w:after="0" w:line="216" w:lineRule="exact"/>
              <w:rPr>
                <w:sz w:val="20"/>
                <w:szCs w:val="20"/>
                <w:color w:val="auto"/>
              </w:rPr>
            </w:pPr>
            <w:r>
              <w:rPr>
                <w:rFonts w:ascii="Arial" w:cs="Arial" w:eastAsia="Arial" w:hAnsi="Arial"/>
                <w:sz w:val="20"/>
                <w:szCs w:val="20"/>
                <w:color w:val="auto"/>
              </w:rPr>
              <w:t>202.6</w:t>
            </w:r>
          </w:p>
        </w:tc>
        <w:tc>
          <w:tcPr>
            <w:tcW w:w="280" w:type="dxa"/>
            <w:vAlign w:val="bottom"/>
            <w:shd w:val="clear" w:color="auto" w:fill="D9D9D9"/>
          </w:tcPr>
          <w:p>
            <w:pPr>
              <w:jc w:val="right"/>
              <w:ind w:right="1"/>
              <w:spacing w:after="0" w:line="216" w:lineRule="exact"/>
              <w:rPr>
                <w:sz w:val="20"/>
                <w:szCs w:val="20"/>
                <w:color w:val="auto"/>
              </w:rPr>
            </w:pPr>
            <w:r>
              <w:rPr>
                <w:rFonts w:ascii="Arial" w:cs="Arial" w:eastAsia="Arial" w:hAnsi="Arial"/>
                <w:sz w:val="20"/>
                <w:szCs w:val="20"/>
                <w:color w:val="auto"/>
              </w:rPr>
              <w:t>$</w:t>
            </w:r>
          </w:p>
        </w:tc>
        <w:tc>
          <w:tcPr>
            <w:tcW w:w="1200" w:type="dxa"/>
            <w:vAlign w:val="bottom"/>
            <w:shd w:val="clear" w:color="auto" w:fill="D9D9D9"/>
          </w:tcPr>
          <w:p>
            <w:pPr>
              <w:jc w:val="right"/>
              <w:ind w:right="241"/>
              <w:spacing w:after="0" w:line="216" w:lineRule="exact"/>
              <w:rPr>
                <w:sz w:val="20"/>
                <w:szCs w:val="20"/>
                <w:color w:val="auto"/>
              </w:rPr>
            </w:pPr>
            <w:r>
              <w:rPr>
                <w:rFonts w:ascii="Arial" w:cs="Arial" w:eastAsia="Arial" w:hAnsi="Arial"/>
                <w:sz w:val="20"/>
                <w:szCs w:val="20"/>
                <w:color w:val="auto"/>
              </w:rPr>
              <w:t>860.2</w:t>
            </w:r>
          </w:p>
        </w:tc>
        <w:tc>
          <w:tcPr>
            <w:tcW w:w="420" w:type="dxa"/>
            <w:vAlign w:val="bottom"/>
            <w:shd w:val="clear" w:color="auto" w:fill="D9D9D9"/>
          </w:tcPr>
          <w:p>
            <w:pPr>
              <w:jc w:val="right"/>
              <w:ind w:right="161"/>
              <w:spacing w:after="0" w:line="216" w:lineRule="exact"/>
              <w:rPr>
                <w:sz w:val="20"/>
                <w:szCs w:val="20"/>
                <w:color w:val="auto"/>
              </w:rPr>
            </w:pPr>
            <w:r>
              <w:rPr>
                <w:rFonts w:ascii="Arial" w:cs="Arial" w:eastAsia="Arial" w:hAnsi="Arial"/>
                <w:sz w:val="20"/>
                <w:szCs w:val="20"/>
                <w:color w:val="auto"/>
              </w:rPr>
              <w:t>$</w:t>
            </w:r>
          </w:p>
        </w:tc>
        <w:tc>
          <w:tcPr>
            <w:tcW w:w="720" w:type="dxa"/>
            <w:vAlign w:val="bottom"/>
            <w:shd w:val="clear" w:color="auto" w:fill="D9D9D9"/>
          </w:tcPr>
          <w:p>
            <w:pPr>
              <w:jc w:val="right"/>
              <w:ind w:right="121"/>
              <w:spacing w:after="0" w:line="216" w:lineRule="exact"/>
              <w:rPr>
                <w:sz w:val="20"/>
                <w:szCs w:val="20"/>
                <w:color w:val="auto"/>
              </w:rPr>
            </w:pPr>
            <w:r>
              <w:rPr>
                <w:rFonts w:ascii="Arial" w:cs="Arial" w:eastAsia="Arial" w:hAnsi="Arial"/>
                <w:sz w:val="20"/>
                <w:szCs w:val="20"/>
                <w:color w:val="auto"/>
                <w:w w:val="95"/>
              </w:rPr>
              <w:t>763.8</w:t>
            </w:r>
          </w:p>
        </w:tc>
      </w:tr>
      <w:tr>
        <w:trPr>
          <w:trHeight w:val="216"/>
        </w:trPr>
        <w:tc>
          <w:tcPr>
            <w:tcW w:w="3340" w:type="dxa"/>
            <w:vAlign w:val="bottom"/>
          </w:tcPr>
          <w:p>
            <w:pPr>
              <w:ind w:left="20"/>
              <w:spacing w:after="0" w:line="216" w:lineRule="exact"/>
              <w:rPr>
                <w:sz w:val="20"/>
                <w:szCs w:val="20"/>
                <w:color w:val="auto"/>
              </w:rPr>
            </w:pPr>
            <w:r>
              <w:rPr>
                <w:rFonts w:ascii="Arial" w:cs="Arial" w:eastAsia="Arial" w:hAnsi="Arial"/>
                <w:sz w:val="20"/>
                <w:szCs w:val="20"/>
                <w:color w:val="auto"/>
              </w:rPr>
              <w:t>(Loss) income from operations</w:t>
            </w:r>
          </w:p>
        </w:tc>
        <w:tc>
          <w:tcPr>
            <w:tcW w:w="28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141"/>
              <w:spacing w:after="0" w:line="216" w:lineRule="exact"/>
              <w:rPr>
                <w:sz w:val="20"/>
                <w:szCs w:val="20"/>
                <w:color w:val="auto"/>
              </w:rPr>
            </w:pPr>
            <w:r>
              <w:rPr>
                <w:rFonts w:ascii="Arial" w:cs="Arial" w:eastAsia="Arial" w:hAnsi="Arial"/>
                <w:sz w:val="20"/>
                <w:szCs w:val="20"/>
                <w:color w:val="auto"/>
              </w:rPr>
              <w:t>(80.7)</w:t>
            </w:r>
          </w:p>
        </w:tc>
        <w:tc>
          <w:tcPr>
            <w:tcW w:w="28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1060" w:type="dxa"/>
            <w:vAlign w:val="bottom"/>
          </w:tcPr>
          <w:p>
            <w:pPr>
              <w:jc w:val="right"/>
              <w:ind w:right="161"/>
              <w:spacing w:after="0" w:line="216" w:lineRule="exact"/>
              <w:rPr>
                <w:sz w:val="20"/>
                <w:szCs w:val="20"/>
                <w:color w:val="auto"/>
              </w:rPr>
            </w:pPr>
            <w:r>
              <w:rPr>
                <w:rFonts w:ascii="Arial" w:cs="Arial" w:eastAsia="Arial" w:hAnsi="Arial"/>
                <w:sz w:val="20"/>
                <w:szCs w:val="20"/>
                <w:color w:val="auto"/>
              </w:rPr>
              <w:t>29.4</w:t>
            </w:r>
          </w:p>
        </w:tc>
        <w:tc>
          <w:tcPr>
            <w:tcW w:w="280" w:type="dxa"/>
            <w:vAlign w:val="bottom"/>
          </w:tcPr>
          <w:p>
            <w:pPr>
              <w:jc w:val="right"/>
              <w:ind w:right="1"/>
              <w:spacing w:after="0" w:line="216" w:lineRule="exact"/>
              <w:rPr>
                <w:sz w:val="20"/>
                <w:szCs w:val="20"/>
                <w:color w:val="auto"/>
              </w:rPr>
            </w:pPr>
            <w:r>
              <w:rPr>
                <w:rFonts w:ascii="Arial" w:cs="Arial" w:eastAsia="Arial" w:hAnsi="Arial"/>
                <w:sz w:val="20"/>
                <w:szCs w:val="20"/>
                <w:color w:val="auto"/>
              </w:rPr>
              <w:t>$</w:t>
            </w:r>
          </w:p>
        </w:tc>
        <w:tc>
          <w:tcPr>
            <w:tcW w:w="1200" w:type="dxa"/>
            <w:vAlign w:val="bottom"/>
          </w:tcPr>
          <w:p>
            <w:pPr>
              <w:jc w:val="right"/>
              <w:ind w:right="141"/>
              <w:spacing w:after="0" w:line="216" w:lineRule="exact"/>
              <w:rPr>
                <w:sz w:val="20"/>
                <w:szCs w:val="20"/>
                <w:color w:val="auto"/>
              </w:rPr>
            </w:pPr>
            <w:r>
              <w:rPr>
                <w:rFonts w:ascii="Arial" w:cs="Arial" w:eastAsia="Arial" w:hAnsi="Arial"/>
                <w:sz w:val="20"/>
                <w:szCs w:val="20"/>
                <w:color w:val="auto"/>
              </w:rPr>
              <w:t>(62.4)</w:t>
            </w:r>
          </w:p>
        </w:tc>
        <w:tc>
          <w:tcPr>
            <w:tcW w:w="420" w:type="dxa"/>
            <w:vAlign w:val="bottom"/>
          </w:tcPr>
          <w:p>
            <w:pPr>
              <w:jc w:val="right"/>
              <w:ind w:right="161"/>
              <w:spacing w:after="0" w:line="216" w:lineRule="exact"/>
              <w:rPr>
                <w:sz w:val="20"/>
                <w:szCs w:val="20"/>
                <w:color w:val="auto"/>
              </w:rPr>
            </w:pPr>
            <w:r>
              <w:rPr>
                <w:rFonts w:ascii="Arial" w:cs="Arial" w:eastAsia="Arial" w:hAnsi="Arial"/>
                <w:sz w:val="20"/>
                <w:szCs w:val="20"/>
                <w:color w:val="auto"/>
              </w:rPr>
              <w:t>$</w:t>
            </w:r>
          </w:p>
        </w:tc>
        <w:tc>
          <w:tcPr>
            <w:tcW w:w="720" w:type="dxa"/>
            <w:vAlign w:val="bottom"/>
          </w:tcPr>
          <w:p>
            <w:pPr>
              <w:jc w:val="right"/>
              <w:ind w:right="121"/>
              <w:spacing w:after="0" w:line="216" w:lineRule="exact"/>
              <w:rPr>
                <w:sz w:val="20"/>
                <w:szCs w:val="20"/>
                <w:color w:val="auto"/>
              </w:rPr>
            </w:pPr>
            <w:r>
              <w:rPr>
                <w:rFonts w:ascii="Arial" w:cs="Arial" w:eastAsia="Arial" w:hAnsi="Arial"/>
                <w:sz w:val="20"/>
                <w:szCs w:val="20"/>
                <w:color w:val="auto"/>
              </w:rPr>
              <w:t>81.5</w:t>
            </w:r>
          </w:p>
        </w:tc>
      </w:tr>
      <w:tr>
        <w:trPr>
          <w:trHeight w:val="216"/>
        </w:trPr>
        <w:tc>
          <w:tcPr>
            <w:tcW w:w="3340" w:type="dxa"/>
            <w:vAlign w:val="bottom"/>
            <w:shd w:val="clear" w:color="auto" w:fill="D9D9D9"/>
          </w:tcPr>
          <w:p>
            <w:pPr>
              <w:ind w:left="20"/>
              <w:spacing w:after="0" w:line="216" w:lineRule="exact"/>
              <w:rPr>
                <w:sz w:val="20"/>
                <w:szCs w:val="20"/>
                <w:color w:val="auto"/>
              </w:rPr>
            </w:pPr>
            <w:r>
              <w:rPr>
                <w:rFonts w:ascii="Arial" w:cs="Arial" w:eastAsia="Arial" w:hAnsi="Arial"/>
                <w:sz w:val="20"/>
                <w:szCs w:val="20"/>
                <w:color w:val="auto"/>
              </w:rPr>
              <w:t>Net (loss) income</w:t>
            </w:r>
          </w:p>
        </w:tc>
        <w:tc>
          <w:tcPr>
            <w:tcW w:w="280" w:type="dxa"/>
            <w:vAlign w:val="bottom"/>
            <w:shd w:val="clear" w:color="auto" w:fill="D9D9D9"/>
          </w:tcPr>
          <w:p>
            <w:pPr>
              <w:jc w:val="right"/>
              <w:spacing w:after="0" w:line="216" w:lineRule="exact"/>
              <w:rPr>
                <w:sz w:val="20"/>
                <w:szCs w:val="20"/>
                <w:color w:val="auto"/>
              </w:rPr>
            </w:pPr>
            <w:r>
              <w:rPr>
                <w:rFonts w:ascii="Arial" w:cs="Arial" w:eastAsia="Arial" w:hAnsi="Arial"/>
                <w:sz w:val="20"/>
                <w:szCs w:val="20"/>
                <w:color w:val="auto"/>
              </w:rPr>
              <w:t>$</w:t>
            </w:r>
          </w:p>
        </w:tc>
        <w:tc>
          <w:tcPr>
            <w:tcW w:w="1180" w:type="dxa"/>
            <w:vAlign w:val="bottom"/>
            <w:shd w:val="clear" w:color="auto" w:fill="D9D9D9"/>
          </w:tcPr>
          <w:p>
            <w:pPr>
              <w:jc w:val="right"/>
              <w:ind w:right="141"/>
              <w:spacing w:after="0" w:line="216" w:lineRule="exact"/>
              <w:rPr>
                <w:sz w:val="20"/>
                <w:szCs w:val="20"/>
                <w:color w:val="auto"/>
              </w:rPr>
            </w:pPr>
            <w:r>
              <w:rPr>
                <w:rFonts w:ascii="Arial" w:cs="Arial" w:eastAsia="Arial" w:hAnsi="Arial"/>
                <w:sz w:val="20"/>
                <w:szCs w:val="20"/>
                <w:color w:val="auto"/>
              </w:rPr>
              <w:t>(100.4)</w:t>
            </w:r>
          </w:p>
        </w:tc>
        <w:tc>
          <w:tcPr>
            <w:tcW w:w="280" w:type="dxa"/>
            <w:vAlign w:val="bottom"/>
            <w:shd w:val="clear" w:color="auto" w:fill="D9D9D9"/>
          </w:tcPr>
          <w:p>
            <w:pPr>
              <w:jc w:val="right"/>
              <w:spacing w:after="0" w:line="216" w:lineRule="exact"/>
              <w:rPr>
                <w:sz w:val="20"/>
                <w:szCs w:val="20"/>
                <w:color w:val="auto"/>
              </w:rPr>
            </w:pPr>
            <w:r>
              <w:rPr>
                <w:rFonts w:ascii="Arial" w:cs="Arial" w:eastAsia="Arial" w:hAnsi="Arial"/>
                <w:sz w:val="20"/>
                <w:szCs w:val="20"/>
                <w:color w:val="auto"/>
              </w:rPr>
              <w:t>$</w:t>
            </w:r>
          </w:p>
        </w:tc>
        <w:tc>
          <w:tcPr>
            <w:tcW w:w="1060" w:type="dxa"/>
            <w:vAlign w:val="bottom"/>
            <w:shd w:val="clear" w:color="auto" w:fill="D9D9D9"/>
          </w:tcPr>
          <w:p>
            <w:pPr>
              <w:jc w:val="right"/>
              <w:ind w:right="161"/>
              <w:spacing w:after="0" w:line="216" w:lineRule="exact"/>
              <w:rPr>
                <w:sz w:val="20"/>
                <w:szCs w:val="20"/>
                <w:color w:val="auto"/>
              </w:rPr>
            </w:pPr>
            <w:r>
              <w:rPr>
                <w:rFonts w:ascii="Arial" w:cs="Arial" w:eastAsia="Arial" w:hAnsi="Arial"/>
                <w:sz w:val="20"/>
                <w:szCs w:val="20"/>
                <w:color w:val="auto"/>
              </w:rPr>
              <w:t>14.8</w:t>
            </w:r>
          </w:p>
        </w:tc>
        <w:tc>
          <w:tcPr>
            <w:tcW w:w="280" w:type="dxa"/>
            <w:vAlign w:val="bottom"/>
            <w:shd w:val="clear" w:color="auto" w:fill="D9D9D9"/>
          </w:tcPr>
          <w:p>
            <w:pPr>
              <w:jc w:val="right"/>
              <w:ind w:right="1"/>
              <w:spacing w:after="0" w:line="216" w:lineRule="exact"/>
              <w:rPr>
                <w:sz w:val="20"/>
                <w:szCs w:val="20"/>
                <w:color w:val="auto"/>
              </w:rPr>
            </w:pPr>
            <w:r>
              <w:rPr>
                <w:rFonts w:ascii="Arial" w:cs="Arial" w:eastAsia="Arial" w:hAnsi="Arial"/>
                <w:sz w:val="20"/>
                <w:szCs w:val="20"/>
                <w:color w:val="auto"/>
              </w:rPr>
              <w:t>$</w:t>
            </w:r>
          </w:p>
        </w:tc>
        <w:tc>
          <w:tcPr>
            <w:tcW w:w="1200" w:type="dxa"/>
            <w:vAlign w:val="bottom"/>
            <w:shd w:val="clear" w:color="auto" w:fill="D9D9D9"/>
          </w:tcPr>
          <w:p>
            <w:pPr>
              <w:jc w:val="right"/>
              <w:ind w:right="141"/>
              <w:spacing w:after="0" w:line="216" w:lineRule="exact"/>
              <w:rPr>
                <w:sz w:val="20"/>
                <w:szCs w:val="20"/>
                <w:color w:val="auto"/>
              </w:rPr>
            </w:pPr>
            <w:r>
              <w:rPr>
                <w:rFonts w:ascii="Arial" w:cs="Arial" w:eastAsia="Arial" w:hAnsi="Arial"/>
                <w:sz w:val="20"/>
                <w:szCs w:val="20"/>
                <w:color w:val="auto"/>
              </w:rPr>
              <w:t>(110.3)</w:t>
            </w:r>
          </w:p>
        </w:tc>
        <w:tc>
          <w:tcPr>
            <w:tcW w:w="420" w:type="dxa"/>
            <w:vAlign w:val="bottom"/>
            <w:shd w:val="clear" w:color="auto" w:fill="D9D9D9"/>
          </w:tcPr>
          <w:p>
            <w:pPr>
              <w:jc w:val="right"/>
              <w:ind w:right="161"/>
              <w:spacing w:after="0" w:line="216" w:lineRule="exact"/>
              <w:rPr>
                <w:sz w:val="20"/>
                <w:szCs w:val="20"/>
                <w:color w:val="auto"/>
              </w:rPr>
            </w:pPr>
            <w:r>
              <w:rPr>
                <w:rFonts w:ascii="Arial" w:cs="Arial" w:eastAsia="Arial" w:hAnsi="Arial"/>
                <w:sz w:val="20"/>
                <w:szCs w:val="20"/>
                <w:color w:val="auto"/>
              </w:rPr>
              <w:t>$</w:t>
            </w:r>
          </w:p>
        </w:tc>
        <w:tc>
          <w:tcPr>
            <w:tcW w:w="720" w:type="dxa"/>
            <w:vAlign w:val="bottom"/>
            <w:shd w:val="clear" w:color="auto" w:fill="D9D9D9"/>
          </w:tcPr>
          <w:p>
            <w:pPr>
              <w:jc w:val="right"/>
              <w:ind w:right="121"/>
              <w:spacing w:after="0" w:line="216" w:lineRule="exact"/>
              <w:rPr>
                <w:sz w:val="20"/>
                <w:szCs w:val="20"/>
                <w:color w:val="auto"/>
              </w:rPr>
            </w:pPr>
            <w:r>
              <w:rPr>
                <w:rFonts w:ascii="Arial" w:cs="Arial" w:eastAsia="Arial" w:hAnsi="Arial"/>
                <w:sz w:val="20"/>
                <w:szCs w:val="20"/>
                <w:color w:val="auto"/>
              </w:rPr>
              <w:t>37.3</w:t>
            </w:r>
          </w:p>
        </w:tc>
      </w:tr>
      <w:tr>
        <w:trPr>
          <w:trHeight w:val="216"/>
        </w:trPr>
        <w:tc>
          <w:tcPr>
            <w:tcW w:w="3340" w:type="dxa"/>
            <w:vAlign w:val="bottom"/>
          </w:tcPr>
          <w:p>
            <w:pPr>
              <w:ind w:left="20"/>
              <w:spacing w:after="0" w:line="216" w:lineRule="exact"/>
              <w:rPr>
                <w:sz w:val="20"/>
                <w:szCs w:val="20"/>
                <w:color w:val="auto"/>
              </w:rPr>
            </w:pPr>
            <w:r>
              <w:rPr>
                <w:rFonts w:ascii="Arial" w:cs="Arial" w:eastAsia="Arial" w:hAnsi="Arial"/>
                <w:sz w:val="20"/>
                <w:szCs w:val="20"/>
                <w:color w:val="auto"/>
              </w:rPr>
              <w:t>Net (loss) income margin</w:t>
            </w:r>
          </w:p>
        </w:tc>
        <w:tc>
          <w:tcPr>
            <w:tcW w:w="280" w:type="dxa"/>
            <w:vAlign w:val="bottom"/>
          </w:tcPr>
          <w:p>
            <w:pPr>
              <w:spacing w:after="0"/>
              <w:rPr>
                <w:sz w:val="18"/>
                <w:szCs w:val="18"/>
                <w:color w:val="auto"/>
              </w:rPr>
            </w:pPr>
          </w:p>
        </w:tc>
        <w:tc>
          <w:tcPr>
            <w:tcW w:w="1180" w:type="dxa"/>
            <w:vAlign w:val="bottom"/>
          </w:tcPr>
          <w:p>
            <w:pPr>
              <w:jc w:val="right"/>
              <w:spacing w:after="0" w:line="216" w:lineRule="exact"/>
              <w:rPr>
                <w:sz w:val="20"/>
                <w:szCs w:val="20"/>
                <w:color w:val="auto"/>
              </w:rPr>
            </w:pPr>
            <w:r>
              <w:rPr>
                <w:rFonts w:ascii="Arial" w:cs="Arial" w:eastAsia="Arial" w:hAnsi="Arial"/>
                <w:sz w:val="20"/>
                <w:szCs w:val="20"/>
                <w:color w:val="auto"/>
              </w:rPr>
              <w:t>(32.7)%</w:t>
            </w:r>
          </w:p>
        </w:tc>
        <w:tc>
          <w:tcPr>
            <w:tcW w:w="280" w:type="dxa"/>
            <w:vAlign w:val="bottom"/>
          </w:tcPr>
          <w:p>
            <w:pPr>
              <w:spacing w:after="0"/>
              <w:rPr>
                <w:sz w:val="18"/>
                <w:szCs w:val="18"/>
                <w:color w:val="auto"/>
              </w:rPr>
            </w:pPr>
          </w:p>
        </w:tc>
        <w:tc>
          <w:tcPr>
            <w:tcW w:w="1060" w:type="dxa"/>
            <w:vAlign w:val="bottom"/>
          </w:tcPr>
          <w:p>
            <w:pPr>
              <w:jc w:val="right"/>
              <w:spacing w:after="0" w:line="216" w:lineRule="exact"/>
              <w:rPr>
                <w:sz w:val="20"/>
                <w:szCs w:val="20"/>
                <w:color w:val="auto"/>
              </w:rPr>
            </w:pPr>
            <w:r>
              <w:rPr>
                <w:rFonts w:ascii="Arial" w:cs="Arial" w:eastAsia="Arial" w:hAnsi="Arial"/>
                <w:sz w:val="20"/>
                <w:szCs w:val="20"/>
                <w:color w:val="auto"/>
              </w:rPr>
              <w:t>7.3%</w:t>
            </w:r>
          </w:p>
        </w:tc>
        <w:tc>
          <w:tcPr>
            <w:tcW w:w="28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Arial" w:cs="Arial" w:eastAsia="Arial" w:hAnsi="Arial"/>
                <w:sz w:val="20"/>
                <w:szCs w:val="20"/>
                <w:color w:val="auto"/>
              </w:rPr>
              <w:t>(12.8)%</w:t>
            </w:r>
          </w:p>
        </w:tc>
        <w:tc>
          <w:tcPr>
            <w:tcW w:w="420" w:type="dxa"/>
            <w:vAlign w:val="bottom"/>
          </w:tcPr>
          <w:p>
            <w:pPr>
              <w:spacing w:after="0"/>
              <w:rPr>
                <w:sz w:val="18"/>
                <w:szCs w:val="18"/>
                <w:color w:val="auto"/>
              </w:rPr>
            </w:pPr>
          </w:p>
        </w:tc>
        <w:tc>
          <w:tcPr>
            <w:tcW w:w="720" w:type="dxa"/>
            <w:vAlign w:val="bottom"/>
          </w:tcPr>
          <w:p>
            <w:pPr>
              <w:jc w:val="right"/>
              <w:spacing w:after="0" w:line="216" w:lineRule="exact"/>
              <w:rPr>
                <w:sz w:val="20"/>
                <w:szCs w:val="20"/>
                <w:color w:val="auto"/>
              </w:rPr>
            </w:pPr>
            <w:r>
              <w:rPr>
                <w:rFonts w:ascii="Arial" w:cs="Arial" w:eastAsia="Arial" w:hAnsi="Arial"/>
                <w:sz w:val="20"/>
                <w:szCs w:val="20"/>
                <w:color w:val="auto"/>
              </w:rPr>
              <w:t>4.9%</w:t>
            </w:r>
          </w:p>
        </w:tc>
      </w:tr>
      <w:tr>
        <w:trPr>
          <w:trHeight w:val="216"/>
        </w:trPr>
        <w:tc>
          <w:tcPr>
            <w:tcW w:w="3340" w:type="dxa"/>
            <w:vAlign w:val="bottom"/>
            <w:shd w:val="clear" w:color="auto" w:fill="D9D9D9"/>
          </w:tcPr>
          <w:p>
            <w:pPr>
              <w:ind w:left="20"/>
              <w:spacing w:after="0" w:line="216" w:lineRule="exact"/>
              <w:rPr>
                <w:sz w:val="20"/>
                <w:szCs w:val="20"/>
                <w:color w:val="auto"/>
              </w:rPr>
            </w:pPr>
            <w:r>
              <w:rPr>
                <w:rFonts w:ascii="Arial" w:cs="Arial" w:eastAsia="Arial" w:hAnsi="Arial"/>
                <w:sz w:val="20"/>
                <w:szCs w:val="20"/>
                <w:color w:val="auto"/>
              </w:rPr>
              <w:t>Diluted net (loss) income per share</w:t>
            </w:r>
          </w:p>
        </w:tc>
        <w:tc>
          <w:tcPr>
            <w:tcW w:w="280" w:type="dxa"/>
            <w:vAlign w:val="bottom"/>
            <w:shd w:val="clear" w:color="auto" w:fill="D9D9D9"/>
          </w:tcPr>
          <w:p>
            <w:pPr>
              <w:jc w:val="right"/>
              <w:spacing w:after="0" w:line="216" w:lineRule="exact"/>
              <w:rPr>
                <w:sz w:val="20"/>
                <w:szCs w:val="20"/>
                <w:color w:val="auto"/>
              </w:rPr>
            </w:pPr>
            <w:r>
              <w:rPr>
                <w:rFonts w:ascii="Arial" w:cs="Arial" w:eastAsia="Arial" w:hAnsi="Arial"/>
                <w:sz w:val="20"/>
                <w:szCs w:val="20"/>
                <w:color w:val="auto"/>
              </w:rPr>
              <w:t>$</w:t>
            </w:r>
          </w:p>
        </w:tc>
        <w:tc>
          <w:tcPr>
            <w:tcW w:w="1180" w:type="dxa"/>
            <w:vAlign w:val="bottom"/>
            <w:shd w:val="clear" w:color="auto" w:fill="D9D9D9"/>
          </w:tcPr>
          <w:p>
            <w:pPr>
              <w:jc w:val="right"/>
              <w:ind w:right="141"/>
              <w:spacing w:after="0" w:line="216" w:lineRule="exact"/>
              <w:rPr>
                <w:sz w:val="20"/>
                <w:szCs w:val="20"/>
                <w:color w:val="auto"/>
              </w:rPr>
            </w:pPr>
            <w:r>
              <w:rPr>
                <w:rFonts w:ascii="Arial" w:cs="Arial" w:eastAsia="Arial" w:hAnsi="Arial"/>
                <w:sz w:val="20"/>
                <w:szCs w:val="20"/>
                <w:color w:val="auto"/>
              </w:rPr>
              <w:t>(0.62)</w:t>
            </w:r>
          </w:p>
        </w:tc>
        <w:tc>
          <w:tcPr>
            <w:tcW w:w="280" w:type="dxa"/>
            <w:vAlign w:val="bottom"/>
            <w:shd w:val="clear" w:color="auto" w:fill="D9D9D9"/>
          </w:tcPr>
          <w:p>
            <w:pPr>
              <w:jc w:val="right"/>
              <w:spacing w:after="0" w:line="216" w:lineRule="exact"/>
              <w:rPr>
                <w:sz w:val="20"/>
                <w:szCs w:val="20"/>
                <w:color w:val="auto"/>
              </w:rPr>
            </w:pPr>
            <w:r>
              <w:rPr>
                <w:rFonts w:ascii="Arial" w:cs="Arial" w:eastAsia="Arial" w:hAnsi="Arial"/>
                <w:sz w:val="20"/>
                <w:szCs w:val="20"/>
                <w:color w:val="auto"/>
              </w:rPr>
              <w:t>$</w:t>
            </w:r>
          </w:p>
        </w:tc>
        <w:tc>
          <w:tcPr>
            <w:tcW w:w="1060" w:type="dxa"/>
            <w:vAlign w:val="bottom"/>
            <w:shd w:val="clear" w:color="auto" w:fill="D9D9D9"/>
          </w:tcPr>
          <w:p>
            <w:pPr>
              <w:jc w:val="right"/>
              <w:ind w:right="161"/>
              <w:spacing w:after="0" w:line="216" w:lineRule="exact"/>
              <w:rPr>
                <w:sz w:val="20"/>
                <w:szCs w:val="20"/>
                <w:color w:val="auto"/>
              </w:rPr>
            </w:pPr>
            <w:r>
              <w:rPr>
                <w:rFonts w:ascii="Arial" w:cs="Arial" w:eastAsia="Arial" w:hAnsi="Arial"/>
                <w:sz w:val="20"/>
                <w:szCs w:val="20"/>
                <w:color w:val="auto"/>
              </w:rPr>
              <w:t>0.10</w:t>
            </w:r>
          </w:p>
        </w:tc>
        <w:tc>
          <w:tcPr>
            <w:tcW w:w="280" w:type="dxa"/>
            <w:vAlign w:val="bottom"/>
            <w:shd w:val="clear" w:color="auto" w:fill="D9D9D9"/>
          </w:tcPr>
          <w:p>
            <w:pPr>
              <w:jc w:val="right"/>
              <w:ind w:right="1"/>
              <w:spacing w:after="0" w:line="216" w:lineRule="exact"/>
              <w:rPr>
                <w:sz w:val="20"/>
                <w:szCs w:val="20"/>
                <w:color w:val="auto"/>
              </w:rPr>
            </w:pPr>
            <w:r>
              <w:rPr>
                <w:rFonts w:ascii="Arial" w:cs="Arial" w:eastAsia="Arial" w:hAnsi="Arial"/>
                <w:sz w:val="20"/>
                <w:szCs w:val="20"/>
                <w:color w:val="auto"/>
              </w:rPr>
              <w:t>$</w:t>
            </w:r>
          </w:p>
        </w:tc>
        <w:tc>
          <w:tcPr>
            <w:tcW w:w="1200" w:type="dxa"/>
            <w:vAlign w:val="bottom"/>
            <w:shd w:val="clear" w:color="auto" w:fill="D9D9D9"/>
          </w:tcPr>
          <w:p>
            <w:pPr>
              <w:jc w:val="right"/>
              <w:ind w:right="141"/>
              <w:spacing w:after="0" w:line="216" w:lineRule="exact"/>
              <w:rPr>
                <w:sz w:val="20"/>
                <w:szCs w:val="20"/>
                <w:color w:val="auto"/>
              </w:rPr>
            </w:pPr>
            <w:r>
              <w:rPr>
                <w:rFonts w:ascii="Arial" w:cs="Arial" w:eastAsia="Arial" w:hAnsi="Arial"/>
                <w:sz w:val="20"/>
                <w:szCs w:val="20"/>
                <w:color w:val="auto"/>
              </w:rPr>
              <w:t>(0.74)</w:t>
            </w:r>
          </w:p>
        </w:tc>
        <w:tc>
          <w:tcPr>
            <w:tcW w:w="420" w:type="dxa"/>
            <w:vAlign w:val="bottom"/>
            <w:shd w:val="clear" w:color="auto" w:fill="D9D9D9"/>
          </w:tcPr>
          <w:p>
            <w:pPr>
              <w:jc w:val="right"/>
              <w:ind w:right="161"/>
              <w:spacing w:after="0" w:line="216" w:lineRule="exact"/>
              <w:rPr>
                <w:sz w:val="20"/>
                <w:szCs w:val="20"/>
                <w:color w:val="auto"/>
              </w:rPr>
            </w:pPr>
            <w:r>
              <w:rPr>
                <w:rFonts w:ascii="Arial" w:cs="Arial" w:eastAsia="Arial" w:hAnsi="Arial"/>
                <w:sz w:val="20"/>
                <w:szCs w:val="20"/>
                <w:color w:val="auto"/>
              </w:rPr>
              <w:t>$</w:t>
            </w:r>
          </w:p>
        </w:tc>
        <w:tc>
          <w:tcPr>
            <w:tcW w:w="720" w:type="dxa"/>
            <w:vAlign w:val="bottom"/>
            <w:shd w:val="clear" w:color="auto" w:fill="D9D9D9"/>
          </w:tcPr>
          <w:p>
            <w:pPr>
              <w:jc w:val="right"/>
              <w:ind w:right="121"/>
              <w:spacing w:after="0" w:line="216" w:lineRule="exact"/>
              <w:rPr>
                <w:sz w:val="20"/>
                <w:szCs w:val="20"/>
                <w:color w:val="auto"/>
              </w:rPr>
            </w:pPr>
            <w:r>
              <w:rPr>
                <w:rFonts w:ascii="Arial" w:cs="Arial" w:eastAsia="Arial" w:hAnsi="Arial"/>
                <w:sz w:val="20"/>
                <w:szCs w:val="20"/>
                <w:color w:val="auto"/>
              </w:rPr>
              <w:t>0.26</w:t>
            </w:r>
          </w:p>
        </w:tc>
      </w:tr>
      <w:tr>
        <w:trPr>
          <w:trHeight w:val="216"/>
        </w:trPr>
        <w:tc>
          <w:tcPr>
            <w:tcW w:w="3340" w:type="dxa"/>
            <w:vAlign w:val="bottom"/>
          </w:tcPr>
          <w:p>
            <w:pPr>
              <w:ind w:left="20"/>
              <w:spacing w:after="0" w:line="216" w:lineRule="exact"/>
              <w:rPr>
                <w:sz w:val="20"/>
                <w:szCs w:val="20"/>
                <w:color w:val="auto"/>
              </w:rPr>
            </w:pPr>
            <w:r>
              <w:rPr>
                <w:rFonts w:ascii="Arial" w:cs="Arial" w:eastAsia="Arial" w:hAnsi="Arial"/>
                <w:sz w:val="19"/>
                <w:szCs w:val="19"/>
                <w:color w:val="auto"/>
              </w:rPr>
              <w:t>Adjusted EBITDA</w:t>
            </w:r>
            <w:r>
              <w:rPr>
                <w:rFonts w:ascii="Arial" w:cs="Arial" w:eastAsia="Arial" w:hAnsi="Arial"/>
                <w:sz w:val="25"/>
                <w:szCs w:val="25"/>
                <w:color w:val="auto"/>
                <w:vertAlign w:val="superscript"/>
              </w:rPr>
              <w:t>1</w:t>
            </w:r>
          </w:p>
        </w:tc>
        <w:tc>
          <w:tcPr>
            <w:tcW w:w="28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241"/>
              <w:spacing w:after="0" w:line="216" w:lineRule="exact"/>
              <w:rPr>
                <w:sz w:val="20"/>
                <w:szCs w:val="20"/>
                <w:color w:val="auto"/>
              </w:rPr>
            </w:pPr>
            <w:r>
              <w:rPr>
                <w:rFonts w:ascii="Arial" w:cs="Arial" w:eastAsia="Arial" w:hAnsi="Arial"/>
                <w:sz w:val="20"/>
                <w:szCs w:val="20"/>
                <w:color w:val="auto"/>
              </w:rPr>
              <w:t>82.9</w:t>
            </w:r>
          </w:p>
        </w:tc>
        <w:tc>
          <w:tcPr>
            <w:tcW w:w="28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1060" w:type="dxa"/>
            <w:vAlign w:val="bottom"/>
          </w:tcPr>
          <w:p>
            <w:pPr>
              <w:jc w:val="right"/>
              <w:ind w:right="161"/>
              <w:spacing w:after="0" w:line="216" w:lineRule="exact"/>
              <w:rPr>
                <w:sz w:val="20"/>
                <w:szCs w:val="20"/>
                <w:color w:val="auto"/>
              </w:rPr>
            </w:pPr>
            <w:r>
              <w:rPr>
                <w:rFonts w:ascii="Arial" w:cs="Arial" w:eastAsia="Arial" w:hAnsi="Arial"/>
                <w:sz w:val="20"/>
                <w:szCs w:val="20"/>
                <w:color w:val="auto"/>
              </w:rPr>
              <w:t>68.2</w:t>
            </w:r>
          </w:p>
        </w:tc>
        <w:tc>
          <w:tcPr>
            <w:tcW w:w="280" w:type="dxa"/>
            <w:vAlign w:val="bottom"/>
          </w:tcPr>
          <w:p>
            <w:pPr>
              <w:jc w:val="right"/>
              <w:ind w:right="1"/>
              <w:spacing w:after="0" w:line="216" w:lineRule="exact"/>
              <w:rPr>
                <w:sz w:val="20"/>
                <w:szCs w:val="20"/>
                <w:color w:val="auto"/>
              </w:rPr>
            </w:pPr>
            <w:r>
              <w:rPr>
                <w:rFonts w:ascii="Arial" w:cs="Arial" w:eastAsia="Arial" w:hAnsi="Arial"/>
                <w:sz w:val="20"/>
                <w:szCs w:val="20"/>
                <w:color w:val="auto"/>
              </w:rPr>
              <w:t>$</w:t>
            </w:r>
          </w:p>
        </w:tc>
        <w:tc>
          <w:tcPr>
            <w:tcW w:w="1200" w:type="dxa"/>
            <w:vAlign w:val="bottom"/>
          </w:tcPr>
          <w:p>
            <w:pPr>
              <w:jc w:val="right"/>
              <w:ind w:right="241"/>
              <w:spacing w:after="0" w:line="216" w:lineRule="exact"/>
              <w:rPr>
                <w:sz w:val="20"/>
                <w:szCs w:val="20"/>
                <w:color w:val="auto"/>
              </w:rPr>
            </w:pPr>
            <w:r>
              <w:rPr>
                <w:rFonts w:ascii="Arial" w:cs="Arial" w:eastAsia="Arial" w:hAnsi="Arial"/>
                <w:sz w:val="20"/>
                <w:szCs w:val="20"/>
                <w:color w:val="auto"/>
              </w:rPr>
              <w:t>249.3</w:t>
            </w:r>
          </w:p>
        </w:tc>
        <w:tc>
          <w:tcPr>
            <w:tcW w:w="420" w:type="dxa"/>
            <w:vAlign w:val="bottom"/>
          </w:tcPr>
          <w:p>
            <w:pPr>
              <w:jc w:val="right"/>
              <w:ind w:right="161"/>
              <w:spacing w:after="0" w:line="216" w:lineRule="exact"/>
              <w:rPr>
                <w:sz w:val="20"/>
                <w:szCs w:val="20"/>
                <w:color w:val="auto"/>
              </w:rPr>
            </w:pPr>
            <w:r>
              <w:rPr>
                <w:rFonts w:ascii="Arial" w:cs="Arial" w:eastAsia="Arial" w:hAnsi="Arial"/>
                <w:sz w:val="20"/>
                <w:szCs w:val="20"/>
                <w:color w:val="auto"/>
              </w:rPr>
              <w:t>$</w:t>
            </w:r>
          </w:p>
        </w:tc>
        <w:tc>
          <w:tcPr>
            <w:tcW w:w="720" w:type="dxa"/>
            <w:vAlign w:val="bottom"/>
          </w:tcPr>
          <w:p>
            <w:pPr>
              <w:jc w:val="right"/>
              <w:ind w:right="121"/>
              <w:spacing w:after="0" w:line="216" w:lineRule="exact"/>
              <w:rPr>
                <w:sz w:val="20"/>
                <w:szCs w:val="20"/>
                <w:color w:val="auto"/>
              </w:rPr>
            </w:pPr>
            <w:r>
              <w:rPr>
                <w:rFonts w:ascii="Arial" w:cs="Arial" w:eastAsia="Arial" w:hAnsi="Arial"/>
                <w:sz w:val="20"/>
                <w:szCs w:val="20"/>
                <w:color w:val="auto"/>
                <w:w w:val="95"/>
              </w:rPr>
              <w:t>237.6</w:t>
            </w:r>
          </w:p>
        </w:tc>
      </w:tr>
      <w:tr>
        <w:trPr>
          <w:trHeight w:val="216"/>
        </w:trPr>
        <w:tc>
          <w:tcPr>
            <w:tcW w:w="3340" w:type="dxa"/>
            <w:vAlign w:val="bottom"/>
            <w:shd w:val="clear" w:color="auto" w:fill="D9D9D9"/>
          </w:tcPr>
          <w:p>
            <w:pPr>
              <w:ind w:left="20"/>
              <w:spacing w:after="0" w:line="216" w:lineRule="exact"/>
              <w:rPr>
                <w:sz w:val="20"/>
                <w:szCs w:val="20"/>
                <w:color w:val="auto"/>
              </w:rPr>
            </w:pPr>
            <w:r>
              <w:rPr>
                <w:rFonts w:ascii="Arial" w:cs="Arial" w:eastAsia="Arial" w:hAnsi="Arial"/>
                <w:sz w:val="19"/>
                <w:szCs w:val="19"/>
                <w:color w:val="auto"/>
              </w:rPr>
              <w:t>Adjusted EBITDA Margin</w:t>
            </w:r>
            <w:r>
              <w:rPr>
                <w:rFonts w:ascii="Arial" w:cs="Arial" w:eastAsia="Arial" w:hAnsi="Arial"/>
                <w:sz w:val="25"/>
                <w:szCs w:val="25"/>
                <w:color w:val="auto"/>
                <w:vertAlign w:val="superscript"/>
              </w:rPr>
              <w:t>1</w:t>
            </w:r>
          </w:p>
        </w:tc>
        <w:tc>
          <w:tcPr>
            <w:tcW w:w="280" w:type="dxa"/>
            <w:vAlign w:val="bottom"/>
            <w:shd w:val="clear" w:color="auto" w:fill="D9D9D9"/>
          </w:tcPr>
          <w:p>
            <w:pPr>
              <w:spacing w:after="0"/>
              <w:rPr>
                <w:sz w:val="18"/>
                <w:szCs w:val="18"/>
                <w:color w:val="auto"/>
              </w:rPr>
            </w:pPr>
          </w:p>
        </w:tc>
        <w:tc>
          <w:tcPr>
            <w:tcW w:w="1180" w:type="dxa"/>
            <w:vAlign w:val="bottom"/>
            <w:shd w:val="clear" w:color="auto" w:fill="D9D9D9"/>
          </w:tcPr>
          <w:p>
            <w:pPr>
              <w:jc w:val="right"/>
              <w:ind w:right="41"/>
              <w:spacing w:after="0" w:line="216" w:lineRule="exact"/>
              <w:rPr>
                <w:sz w:val="20"/>
                <w:szCs w:val="20"/>
                <w:color w:val="auto"/>
              </w:rPr>
            </w:pPr>
            <w:r>
              <w:rPr>
                <w:rFonts w:ascii="Arial" w:cs="Arial" w:eastAsia="Arial" w:hAnsi="Arial"/>
                <w:sz w:val="20"/>
                <w:szCs w:val="20"/>
                <w:color w:val="auto"/>
              </w:rPr>
              <w:t>27.0%</w:t>
            </w:r>
          </w:p>
        </w:tc>
        <w:tc>
          <w:tcPr>
            <w:tcW w:w="280" w:type="dxa"/>
            <w:vAlign w:val="bottom"/>
            <w:shd w:val="clear" w:color="auto" w:fill="D9D9D9"/>
          </w:tcPr>
          <w:p>
            <w:pPr>
              <w:spacing w:after="0"/>
              <w:rPr>
                <w:sz w:val="18"/>
                <w:szCs w:val="18"/>
                <w:color w:val="auto"/>
              </w:rPr>
            </w:pPr>
          </w:p>
        </w:tc>
        <w:tc>
          <w:tcPr>
            <w:tcW w:w="1060" w:type="dxa"/>
            <w:vAlign w:val="bottom"/>
            <w:shd w:val="clear" w:color="auto" w:fill="D9D9D9"/>
          </w:tcPr>
          <w:p>
            <w:pPr>
              <w:jc w:val="right"/>
              <w:spacing w:after="0" w:line="216" w:lineRule="exact"/>
              <w:rPr>
                <w:sz w:val="20"/>
                <w:szCs w:val="20"/>
                <w:color w:val="auto"/>
              </w:rPr>
            </w:pPr>
            <w:r>
              <w:rPr>
                <w:rFonts w:ascii="Arial" w:cs="Arial" w:eastAsia="Arial" w:hAnsi="Arial"/>
                <w:sz w:val="20"/>
                <w:szCs w:val="20"/>
                <w:color w:val="auto"/>
              </w:rPr>
              <w:t>33.7%</w:t>
            </w:r>
          </w:p>
        </w:tc>
        <w:tc>
          <w:tcPr>
            <w:tcW w:w="280" w:type="dxa"/>
            <w:vAlign w:val="bottom"/>
            <w:shd w:val="clear" w:color="auto" w:fill="D9D9D9"/>
          </w:tcPr>
          <w:p>
            <w:pPr>
              <w:spacing w:after="0"/>
              <w:rPr>
                <w:sz w:val="18"/>
                <w:szCs w:val="18"/>
                <w:color w:val="auto"/>
              </w:rPr>
            </w:pPr>
          </w:p>
        </w:tc>
        <w:tc>
          <w:tcPr>
            <w:tcW w:w="1200" w:type="dxa"/>
            <w:vAlign w:val="bottom"/>
            <w:shd w:val="clear" w:color="auto" w:fill="D9D9D9"/>
          </w:tcPr>
          <w:p>
            <w:pPr>
              <w:jc w:val="right"/>
              <w:ind w:right="41"/>
              <w:spacing w:after="0" w:line="216" w:lineRule="exact"/>
              <w:rPr>
                <w:sz w:val="20"/>
                <w:szCs w:val="20"/>
                <w:color w:val="auto"/>
              </w:rPr>
            </w:pPr>
            <w:r>
              <w:rPr>
                <w:rFonts w:ascii="Arial" w:cs="Arial" w:eastAsia="Arial" w:hAnsi="Arial"/>
                <w:sz w:val="20"/>
                <w:szCs w:val="20"/>
                <w:color w:val="auto"/>
              </w:rPr>
              <w:t>29.0%</w:t>
            </w:r>
          </w:p>
        </w:tc>
        <w:tc>
          <w:tcPr>
            <w:tcW w:w="420" w:type="dxa"/>
            <w:vAlign w:val="bottom"/>
            <w:shd w:val="clear" w:color="auto" w:fill="D9D9D9"/>
          </w:tcPr>
          <w:p>
            <w:pPr>
              <w:spacing w:after="0"/>
              <w:rPr>
                <w:sz w:val="18"/>
                <w:szCs w:val="18"/>
                <w:color w:val="auto"/>
              </w:rPr>
            </w:pPr>
          </w:p>
        </w:tc>
        <w:tc>
          <w:tcPr>
            <w:tcW w:w="720" w:type="dxa"/>
            <w:vAlign w:val="bottom"/>
            <w:shd w:val="clear" w:color="auto" w:fill="D9D9D9"/>
          </w:tcPr>
          <w:p>
            <w:pPr>
              <w:jc w:val="right"/>
              <w:spacing w:after="0" w:line="216" w:lineRule="exact"/>
              <w:rPr>
                <w:sz w:val="20"/>
                <w:szCs w:val="20"/>
                <w:color w:val="auto"/>
              </w:rPr>
            </w:pPr>
            <w:r>
              <w:rPr>
                <w:rFonts w:ascii="Arial" w:cs="Arial" w:eastAsia="Arial" w:hAnsi="Arial"/>
                <w:sz w:val="20"/>
                <w:szCs w:val="20"/>
                <w:color w:val="auto"/>
              </w:rPr>
              <w:t>31.1%</w:t>
            </w:r>
          </w:p>
        </w:tc>
      </w:tr>
      <w:tr>
        <w:trPr>
          <w:trHeight w:val="216"/>
        </w:trPr>
        <w:tc>
          <w:tcPr>
            <w:tcW w:w="3340" w:type="dxa"/>
            <w:vAlign w:val="bottom"/>
          </w:tcPr>
          <w:p>
            <w:pPr>
              <w:ind w:left="20"/>
              <w:spacing w:after="0" w:line="216" w:lineRule="exact"/>
              <w:rPr>
                <w:sz w:val="20"/>
                <w:szCs w:val="20"/>
                <w:color w:val="auto"/>
              </w:rPr>
            </w:pPr>
            <w:r>
              <w:rPr>
                <w:rFonts w:ascii="Arial" w:cs="Arial" w:eastAsia="Arial" w:hAnsi="Arial"/>
                <w:sz w:val="19"/>
                <w:szCs w:val="19"/>
                <w:color w:val="auto"/>
              </w:rPr>
              <w:t>Adjusted Net Income</w:t>
            </w:r>
            <w:r>
              <w:rPr>
                <w:rFonts w:ascii="Arial" w:cs="Arial" w:eastAsia="Arial" w:hAnsi="Arial"/>
                <w:sz w:val="25"/>
                <w:szCs w:val="25"/>
                <w:color w:val="auto"/>
                <w:vertAlign w:val="superscript"/>
              </w:rPr>
              <w:t>1</w:t>
            </w:r>
          </w:p>
        </w:tc>
        <w:tc>
          <w:tcPr>
            <w:tcW w:w="28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241"/>
              <w:spacing w:after="0" w:line="216" w:lineRule="exact"/>
              <w:rPr>
                <w:sz w:val="20"/>
                <w:szCs w:val="20"/>
                <w:color w:val="auto"/>
              </w:rPr>
            </w:pPr>
            <w:r>
              <w:rPr>
                <w:rFonts w:ascii="Arial" w:cs="Arial" w:eastAsia="Arial" w:hAnsi="Arial"/>
                <w:sz w:val="20"/>
                <w:szCs w:val="20"/>
                <w:color w:val="auto"/>
              </w:rPr>
              <w:t>30.2</w:t>
            </w:r>
          </w:p>
        </w:tc>
        <w:tc>
          <w:tcPr>
            <w:tcW w:w="28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1060" w:type="dxa"/>
            <w:vAlign w:val="bottom"/>
          </w:tcPr>
          <w:p>
            <w:pPr>
              <w:jc w:val="right"/>
              <w:ind w:right="161"/>
              <w:spacing w:after="0" w:line="216" w:lineRule="exact"/>
              <w:rPr>
                <w:sz w:val="20"/>
                <w:szCs w:val="20"/>
                <w:color w:val="auto"/>
              </w:rPr>
            </w:pPr>
            <w:r>
              <w:rPr>
                <w:rFonts w:ascii="Arial" w:cs="Arial" w:eastAsia="Arial" w:hAnsi="Arial"/>
                <w:sz w:val="20"/>
                <w:szCs w:val="20"/>
                <w:color w:val="auto"/>
              </w:rPr>
              <w:t>42.6</w:t>
            </w:r>
          </w:p>
        </w:tc>
        <w:tc>
          <w:tcPr>
            <w:tcW w:w="280" w:type="dxa"/>
            <w:vAlign w:val="bottom"/>
          </w:tcPr>
          <w:p>
            <w:pPr>
              <w:jc w:val="right"/>
              <w:ind w:right="1"/>
              <w:spacing w:after="0" w:line="216" w:lineRule="exact"/>
              <w:rPr>
                <w:sz w:val="20"/>
                <w:szCs w:val="20"/>
                <w:color w:val="auto"/>
              </w:rPr>
            </w:pPr>
            <w:r>
              <w:rPr>
                <w:rFonts w:ascii="Arial" w:cs="Arial" w:eastAsia="Arial" w:hAnsi="Arial"/>
                <w:sz w:val="20"/>
                <w:szCs w:val="20"/>
                <w:color w:val="auto"/>
              </w:rPr>
              <w:t>$</w:t>
            </w:r>
          </w:p>
        </w:tc>
        <w:tc>
          <w:tcPr>
            <w:tcW w:w="1200" w:type="dxa"/>
            <w:vAlign w:val="bottom"/>
          </w:tcPr>
          <w:p>
            <w:pPr>
              <w:jc w:val="right"/>
              <w:ind w:right="241"/>
              <w:spacing w:after="0" w:line="216" w:lineRule="exact"/>
              <w:rPr>
                <w:sz w:val="20"/>
                <w:szCs w:val="20"/>
                <w:color w:val="auto"/>
              </w:rPr>
            </w:pPr>
            <w:r>
              <w:rPr>
                <w:rFonts w:ascii="Arial" w:cs="Arial" w:eastAsia="Arial" w:hAnsi="Arial"/>
                <w:sz w:val="20"/>
                <w:szCs w:val="20"/>
                <w:color w:val="auto"/>
              </w:rPr>
              <w:t>123.7</w:t>
            </w:r>
          </w:p>
        </w:tc>
        <w:tc>
          <w:tcPr>
            <w:tcW w:w="420" w:type="dxa"/>
            <w:vAlign w:val="bottom"/>
          </w:tcPr>
          <w:p>
            <w:pPr>
              <w:jc w:val="right"/>
              <w:ind w:right="161"/>
              <w:spacing w:after="0" w:line="216" w:lineRule="exact"/>
              <w:rPr>
                <w:sz w:val="20"/>
                <w:szCs w:val="20"/>
                <w:color w:val="auto"/>
              </w:rPr>
            </w:pPr>
            <w:r>
              <w:rPr>
                <w:rFonts w:ascii="Arial" w:cs="Arial" w:eastAsia="Arial" w:hAnsi="Arial"/>
                <w:sz w:val="20"/>
                <w:szCs w:val="20"/>
                <w:color w:val="auto"/>
              </w:rPr>
              <w:t>$</w:t>
            </w:r>
          </w:p>
        </w:tc>
        <w:tc>
          <w:tcPr>
            <w:tcW w:w="720" w:type="dxa"/>
            <w:vAlign w:val="bottom"/>
          </w:tcPr>
          <w:p>
            <w:pPr>
              <w:jc w:val="right"/>
              <w:ind w:right="121"/>
              <w:spacing w:after="0" w:line="216" w:lineRule="exact"/>
              <w:rPr>
                <w:sz w:val="20"/>
                <w:szCs w:val="20"/>
                <w:color w:val="auto"/>
              </w:rPr>
            </w:pPr>
            <w:r>
              <w:rPr>
                <w:rFonts w:ascii="Arial" w:cs="Arial" w:eastAsia="Arial" w:hAnsi="Arial"/>
                <w:sz w:val="20"/>
                <w:szCs w:val="20"/>
                <w:color w:val="auto"/>
                <w:w w:val="95"/>
              </w:rPr>
              <w:t>145.8</w:t>
            </w:r>
          </w:p>
        </w:tc>
      </w:tr>
      <w:tr>
        <w:trPr>
          <w:trHeight w:val="216"/>
        </w:trPr>
        <w:tc>
          <w:tcPr>
            <w:tcW w:w="3340" w:type="dxa"/>
            <w:vAlign w:val="bottom"/>
            <w:shd w:val="clear" w:color="auto" w:fill="D9D9D9"/>
          </w:tcPr>
          <w:p>
            <w:pPr>
              <w:ind w:left="20"/>
              <w:spacing w:after="0" w:line="216" w:lineRule="exact"/>
              <w:rPr>
                <w:sz w:val="20"/>
                <w:szCs w:val="20"/>
                <w:color w:val="auto"/>
              </w:rPr>
            </w:pPr>
            <w:r>
              <w:rPr>
                <w:rFonts w:ascii="Arial" w:cs="Arial" w:eastAsia="Arial" w:hAnsi="Arial"/>
                <w:sz w:val="19"/>
                <w:szCs w:val="19"/>
                <w:color w:val="auto"/>
              </w:rPr>
              <w:t>Adjusted Diluted Earnings Per Share</w:t>
            </w:r>
            <w:r>
              <w:rPr>
                <w:rFonts w:ascii="Arial" w:cs="Arial" w:eastAsia="Arial" w:hAnsi="Arial"/>
                <w:sz w:val="25"/>
                <w:szCs w:val="25"/>
                <w:color w:val="auto"/>
                <w:vertAlign w:val="superscript"/>
              </w:rPr>
              <w:t>1</w:t>
            </w:r>
          </w:p>
        </w:tc>
        <w:tc>
          <w:tcPr>
            <w:tcW w:w="280" w:type="dxa"/>
            <w:vAlign w:val="bottom"/>
            <w:shd w:val="clear" w:color="auto" w:fill="D9D9D9"/>
          </w:tcPr>
          <w:p>
            <w:pPr>
              <w:jc w:val="right"/>
              <w:spacing w:after="0" w:line="216" w:lineRule="exact"/>
              <w:rPr>
                <w:sz w:val="20"/>
                <w:szCs w:val="20"/>
                <w:color w:val="auto"/>
              </w:rPr>
            </w:pPr>
            <w:r>
              <w:rPr>
                <w:rFonts w:ascii="Arial" w:cs="Arial" w:eastAsia="Arial" w:hAnsi="Arial"/>
                <w:sz w:val="20"/>
                <w:szCs w:val="20"/>
                <w:color w:val="auto"/>
              </w:rPr>
              <w:t>$</w:t>
            </w:r>
          </w:p>
        </w:tc>
        <w:tc>
          <w:tcPr>
            <w:tcW w:w="1180" w:type="dxa"/>
            <w:vAlign w:val="bottom"/>
            <w:shd w:val="clear" w:color="auto" w:fill="D9D9D9"/>
          </w:tcPr>
          <w:p>
            <w:pPr>
              <w:jc w:val="right"/>
              <w:ind w:right="241"/>
              <w:spacing w:after="0" w:line="216" w:lineRule="exact"/>
              <w:rPr>
                <w:sz w:val="20"/>
                <w:szCs w:val="20"/>
                <w:color w:val="auto"/>
              </w:rPr>
            </w:pPr>
            <w:r>
              <w:rPr>
                <w:rFonts w:ascii="Arial" w:cs="Arial" w:eastAsia="Arial" w:hAnsi="Arial"/>
                <w:sz w:val="20"/>
                <w:szCs w:val="20"/>
                <w:color w:val="auto"/>
              </w:rPr>
              <w:t>0.18</w:t>
            </w:r>
          </w:p>
        </w:tc>
        <w:tc>
          <w:tcPr>
            <w:tcW w:w="280" w:type="dxa"/>
            <w:vAlign w:val="bottom"/>
            <w:shd w:val="clear" w:color="auto" w:fill="D9D9D9"/>
          </w:tcPr>
          <w:p>
            <w:pPr>
              <w:jc w:val="right"/>
              <w:spacing w:after="0" w:line="216" w:lineRule="exact"/>
              <w:rPr>
                <w:sz w:val="20"/>
                <w:szCs w:val="20"/>
                <w:color w:val="auto"/>
              </w:rPr>
            </w:pPr>
            <w:r>
              <w:rPr>
                <w:rFonts w:ascii="Arial" w:cs="Arial" w:eastAsia="Arial" w:hAnsi="Arial"/>
                <w:sz w:val="20"/>
                <w:szCs w:val="20"/>
                <w:color w:val="auto"/>
              </w:rPr>
              <w:t>$</w:t>
            </w:r>
          </w:p>
        </w:tc>
        <w:tc>
          <w:tcPr>
            <w:tcW w:w="1060" w:type="dxa"/>
            <w:vAlign w:val="bottom"/>
            <w:shd w:val="clear" w:color="auto" w:fill="D9D9D9"/>
          </w:tcPr>
          <w:p>
            <w:pPr>
              <w:jc w:val="right"/>
              <w:ind w:right="161"/>
              <w:spacing w:after="0" w:line="216" w:lineRule="exact"/>
              <w:rPr>
                <w:sz w:val="20"/>
                <w:szCs w:val="20"/>
                <w:color w:val="auto"/>
              </w:rPr>
            </w:pPr>
            <w:r>
              <w:rPr>
                <w:rFonts w:ascii="Arial" w:cs="Arial" w:eastAsia="Arial" w:hAnsi="Arial"/>
                <w:sz w:val="20"/>
                <w:szCs w:val="20"/>
                <w:color w:val="auto"/>
              </w:rPr>
              <w:t>0.29</w:t>
            </w:r>
          </w:p>
        </w:tc>
        <w:tc>
          <w:tcPr>
            <w:tcW w:w="280" w:type="dxa"/>
            <w:vAlign w:val="bottom"/>
            <w:shd w:val="clear" w:color="auto" w:fill="D9D9D9"/>
          </w:tcPr>
          <w:p>
            <w:pPr>
              <w:jc w:val="right"/>
              <w:ind w:right="1"/>
              <w:spacing w:after="0" w:line="216" w:lineRule="exact"/>
              <w:rPr>
                <w:sz w:val="20"/>
                <w:szCs w:val="20"/>
                <w:color w:val="auto"/>
              </w:rPr>
            </w:pPr>
            <w:r>
              <w:rPr>
                <w:rFonts w:ascii="Arial" w:cs="Arial" w:eastAsia="Arial" w:hAnsi="Arial"/>
                <w:sz w:val="20"/>
                <w:szCs w:val="20"/>
                <w:color w:val="auto"/>
              </w:rPr>
              <w:t>$</w:t>
            </w:r>
          </w:p>
        </w:tc>
        <w:tc>
          <w:tcPr>
            <w:tcW w:w="1200" w:type="dxa"/>
            <w:vAlign w:val="bottom"/>
            <w:shd w:val="clear" w:color="auto" w:fill="D9D9D9"/>
          </w:tcPr>
          <w:p>
            <w:pPr>
              <w:jc w:val="right"/>
              <w:ind w:right="241"/>
              <w:spacing w:after="0" w:line="216" w:lineRule="exact"/>
              <w:rPr>
                <w:sz w:val="20"/>
                <w:szCs w:val="20"/>
                <w:color w:val="auto"/>
              </w:rPr>
            </w:pPr>
            <w:r>
              <w:rPr>
                <w:rFonts w:ascii="Arial" w:cs="Arial" w:eastAsia="Arial" w:hAnsi="Arial"/>
                <w:sz w:val="20"/>
                <w:szCs w:val="20"/>
                <w:color w:val="auto"/>
              </w:rPr>
              <w:t>0.82</w:t>
            </w:r>
          </w:p>
        </w:tc>
        <w:tc>
          <w:tcPr>
            <w:tcW w:w="420" w:type="dxa"/>
            <w:vAlign w:val="bottom"/>
            <w:shd w:val="clear" w:color="auto" w:fill="D9D9D9"/>
          </w:tcPr>
          <w:p>
            <w:pPr>
              <w:jc w:val="right"/>
              <w:ind w:right="161"/>
              <w:spacing w:after="0" w:line="216" w:lineRule="exact"/>
              <w:rPr>
                <w:sz w:val="20"/>
                <w:szCs w:val="20"/>
                <w:color w:val="auto"/>
              </w:rPr>
            </w:pPr>
            <w:r>
              <w:rPr>
                <w:rFonts w:ascii="Arial" w:cs="Arial" w:eastAsia="Arial" w:hAnsi="Arial"/>
                <w:sz w:val="20"/>
                <w:szCs w:val="20"/>
                <w:color w:val="auto"/>
              </w:rPr>
              <w:t>$</w:t>
            </w:r>
          </w:p>
        </w:tc>
        <w:tc>
          <w:tcPr>
            <w:tcW w:w="720" w:type="dxa"/>
            <w:vAlign w:val="bottom"/>
            <w:shd w:val="clear" w:color="auto" w:fill="D9D9D9"/>
          </w:tcPr>
          <w:p>
            <w:pPr>
              <w:jc w:val="right"/>
              <w:ind w:right="121"/>
              <w:spacing w:after="0" w:line="216" w:lineRule="exact"/>
              <w:rPr>
                <w:sz w:val="20"/>
                <w:szCs w:val="20"/>
                <w:color w:val="auto"/>
              </w:rPr>
            </w:pPr>
            <w:r>
              <w:rPr>
                <w:rFonts w:ascii="Arial" w:cs="Arial" w:eastAsia="Arial" w:hAnsi="Arial"/>
                <w:sz w:val="20"/>
                <w:szCs w:val="20"/>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-1379220</wp:posOffset>
            </wp:positionV>
            <wp:extent cx="33775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92" w:lineRule="exact"/>
        <w:rPr>
          <w:sz w:val="20"/>
          <w:szCs w:val="20"/>
          <w:color w:val="auto"/>
        </w:rPr>
      </w:pPr>
    </w:p>
    <w:p>
      <w:pPr>
        <w:jc w:val="both"/>
        <w:ind w:firstLine="4"/>
        <w:spacing w:after="0" w:line="228" w:lineRule="auto"/>
        <w:tabs>
          <w:tab w:leader="none" w:pos="8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Adjusted EBITDA, Adjusted EBITDA Margin, Adjusted Net Income, Adjusted Diluted Earnings Per Share, and Adjusted Operating Cash Flow are non-GAAP measures. Please see the schedules accompanying this earnings release for a reconciliation of these measures to their most directly comparable respective GAAP measures.</w:t>
      </w:r>
    </w:p>
    <w:p>
      <w:pPr>
        <w:spacing w:after="0" w:line="149"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“2024 was a milestone year for First Advantage as we advanced our strategy with the transformational acquisition of Sterling,” said Scott Staples, Chief Executive Officer. “We are progressing well on our integration efforts, actioning and realizing our synergy targets, and accelerating our strategic execution, all while enabling a seamless experience for customers. We have already actioned $20 million in run rate cost synergies, and we are pleased to announce that we have updated our run rate synergy target range from $50 million to $70 million previously to $60 million to $ 70 million. Alongside our efforts on the transaction, we have been refining our updated strategy that prioritizes growth and innovation of our business through new technologies, AI, and product initiatives.”</w:t>
      </w:r>
    </w:p>
    <w:p>
      <w:pPr>
        <w:spacing w:after="0" w:line="133"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“For the full year and fourth quarter of 2024, we delivered solid results amid an uncertain macroeconomic environment. Considering the pre-acquisition results from Sterling, the combined company generated approximately $1.51 billion of revenues and nearly $397 million of Adjusted EBITDA in 2024. The combination of upsell, cross-sell, and new logo growth rates for the year for both First Advantage and Sterling performed in line with the respective historical revenue growth algorithms, and our team continued to demonstrate outstanding execution with important new logo and upsell bookings,” Staples concluded.</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2025 Guidance</w:t>
      </w:r>
    </w:p>
    <w:p>
      <w:pPr>
        <w:spacing w:after="0" w:line="177"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“We are introducing our full year 2025 guidance, which includes our increased scale with the acquisition of Sterling and the expected benefits of synergies,” commented Steven Marks, Chief Financial Officer. “Our full year 2025 guidance ranges reflect the realization of synergies already actioned or expected to be actioned in 2025, our prudent posture towards growth in 2025 due in part to our expectation that base will remain a headwind through the middle of the year as we fully lap prior year base declines, and our latest view of the macroeconomic environment and labor market. In the year ahead, we plan to maintain our product and customer focus while continuing the integration process, maintaining customer continuity, actioning synergies, and reducing net leverage.”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702310</wp:posOffset>
            </wp:positionV>
            <wp:extent cx="70377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2" w:right="10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61"/>
        </w:trPr>
        <w:tc>
          <w:tcPr>
            <w:tcW w:w="5660" w:type="dxa"/>
            <w:vAlign w:val="bottom"/>
            <w:gridSpan w:val="2"/>
          </w:tcPr>
          <w:p>
            <w:pPr>
              <w:spacing w:after="0"/>
              <w:rPr>
                <w:sz w:val="20"/>
                <w:szCs w:val="20"/>
                <w:color w:val="auto"/>
              </w:rPr>
            </w:pPr>
            <w:r>
              <w:rPr>
                <w:rFonts w:ascii="Arial" w:cs="Arial" w:eastAsia="Arial" w:hAnsi="Arial"/>
                <w:sz w:val="20"/>
                <w:szCs w:val="20"/>
                <w:color w:val="auto"/>
              </w:rPr>
              <w:t>The following table summarizes our full year 2025 guidance.</w:t>
            </w:r>
          </w:p>
        </w:tc>
        <w:tc>
          <w:tcPr>
            <w:tcW w:w="3580" w:type="dxa"/>
            <w:vAlign w:val="bottom"/>
          </w:tcPr>
          <w:p>
            <w:pPr>
              <w:spacing w:after="0"/>
              <w:rPr>
                <w:sz w:val="22"/>
                <w:szCs w:val="22"/>
                <w:color w:val="auto"/>
              </w:rPr>
            </w:pPr>
          </w:p>
        </w:tc>
      </w:tr>
      <w:tr>
        <w:trPr>
          <w:trHeight w:val="152"/>
        </w:trPr>
        <w:tc>
          <w:tcPr>
            <w:tcW w:w="48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3580" w:type="dxa"/>
            <w:vAlign w:val="bottom"/>
          </w:tcPr>
          <w:p>
            <w:pPr>
              <w:spacing w:after="0"/>
              <w:rPr>
                <w:sz w:val="13"/>
                <w:szCs w:val="13"/>
                <w:color w:val="auto"/>
              </w:rPr>
            </w:pPr>
          </w:p>
        </w:tc>
      </w:tr>
      <w:tr>
        <w:trPr>
          <w:trHeight w:val="216"/>
        </w:trPr>
        <w:tc>
          <w:tcPr>
            <w:tcW w:w="480" w:type="dxa"/>
            <w:vAlign w:val="bottom"/>
          </w:tcPr>
          <w:p>
            <w:pPr>
              <w:spacing w:after="0"/>
              <w:rPr>
                <w:sz w:val="18"/>
                <w:szCs w:val="18"/>
                <w:color w:val="auto"/>
              </w:rPr>
            </w:pPr>
          </w:p>
        </w:tc>
        <w:tc>
          <w:tcPr>
            <w:tcW w:w="5180" w:type="dxa"/>
            <w:vAlign w:val="bottom"/>
            <w:shd w:val="clear" w:color="auto" w:fill="008656"/>
          </w:tcPr>
          <w:p>
            <w:pPr>
              <w:spacing w:after="0"/>
              <w:rPr>
                <w:sz w:val="18"/>
                <w:szCs w:val="18"/>
                <w:color w:val="auto"/>
              </w:rPr>
            </w:pPr>
          </w:p>
        </w:tc>
        <w:tc>
          <w:tcPr>
            <w:tcW w:w="3580" w:type="dxa"/>
            <w:vAlign w:val="bottom"/>
            <w:shd w:val="clear" w:color="auto" w:fill="008656"/>
          </w:tcPr>
          <w:p>
            <w:pPr>
              <w:jc w:val="center"/>
              <w:ind w:right="341"/>
              <w:spacing w:after="0" w:line="216" w:lineRule="exact"/>
              <w:rPr>
                <w:sz w:val="20"/>
                <w:szCs w:val="20"/>
                <w:color w:val="auto"/>
              </w:rPr>
            </w:pPr>
            <w:r>
              <w:rPr>
                <w:rFonts w:ascii="Arial" w:cs="Arial" w:eastAsia="Arial" w:hAnsi="Arial"/>
                <w:sz w:val="20"/>
                <w:szCs w:val="20"/>
                <w:b w:val="1"/>
                <w:bCs w:val="1"/>
                <w:color w:val="FFFFFF"/>
                <w:w w:val="98"/>
              </w:rPr>
              <w:t>As of February 27, 2025</w:t>
            </w:r>
          </w:p>
        </w:tc>
      </w:tr>
      <w:tr>
        <w:trPr>
          <w:trHeight w:val="216"/>
        </w:trPr>
        <w:tc>
          <w:tcPr>
            <w:tcW w:w="480" w:type="dxa"/>
            <w:vAlign w:val="bottom"/>
          </w:tcPr>
          <w:p>
            <w:pPr>
              <w:spacing w:after="0"/>
              <w:rPr>
                <w:sz w:val="18"/>
                <w:szCs w:val="18"/>
                <w:color w:val="auto"/>
              </w:rPr>
            </w:pPr>
          </w:p>
        </w:tc>
        <w:tc>
          <w:tcPr>
            <w:tcW w:w="5180" w:type="dxa"/>
            <w:vAlign w:val="bottom"/>
            <w:shd w:val="clear" w:color="auto" w:fill="D0CFCD"/>
          </w:tcPr>
          <w:p>
            <w:pPr>
              <w:ind w:left="120"/>
              <w:spacing w:after="0" w:line="216" w:lineRule="exact"/>
              <w:rPr>
                <w:sz w:val="20"/>
                <w:szCs w:val="20"/>
                <w:color w:val="auto"/>
              </w:rPr>
            </w:pPr>
            <w:r>
              <w:rPr>
                <w:rFonts w:ascii="Arial" w:cs="Arial" w:eastAsia="Arial" w:hAnsi="Arial"/>
                <w:sz w:val="20"/>
                <w:szCs w:val="20"/>
                <w:color w:val="auto"/>
              </w:rPr>
              <w:t>Revenues</w:t>
            </w:r>
          </w:p>
        </w:tc>
        <w:tc>
          <w:tcPr>
            <w:tcW w:w="3580" w:type="dxa"/>
            <w:vAlign w:val="bottom"/>
            <w:shd w:val="clear" w:color="auto" w:fill="D0CFCD"/>
          </w:tcPr>
          <w:p>
            <w:pPr>
              <w:jc w:val="center"/>
              <w:ind w:right="341"/>
              <w:spacing w:after="0" w:line="216" w:lineRule="exact"/>
              <w:rPr>
                <w:sz w:val="20"/>
                <w:szCs w:val="20"/>
                <w:color w:val="auto"/>
              </w:rPr>
            </w:pPr>
            <w:r>
              <w:rPr>
                <w:rFonts w:ascii="Arial" w:cs="Arial" w:eastAsia="Arial" w:hAnsi="Arial"/>
                <w:sz w:val="20"/>
                <w:szCs w:val="20"/>
                <w:color w:val="auto"/>
                <w:w w:val="98"/>
              </w:rPr>
              <w:t>$1.5 billion – $1.6 billion</w:t>
            </w:r>
          </w:p>
        </w:tc>
      </w:tr>
      <w:tr>
        <w:trPr>
          <w:trHeight w:val="216"/>
        </w:trPr>
        <w:tc>
          <w:tcPr>
            <w:tcW w:w="480" w:type="dxa"/>
            <w:vAlign w:val="bottom"/>
          </w:tcPr>
          <w:p>
            <w:pPr>
              <w:spacing w:after="0"/>
              <w:rPr>
                <w:sz w:val="18"/>
                <w:szCs w:val="18"/>
                <w:color w:val="auto"/>
              </w:rPr>
            </w:pPr>
          </w:p>
        </w:tc>
        <w:tc>
          <w:tcPr>
            <w:tcW w:w="5180" w:type="dxa"/>
            <w:vAlign w:val="bottom"/>
          </w:tcPr>
          <w:p>
            <w:pPr>
              <w:ind w:left="120"/>
              <w:spacing w:after="0" w:line="216" w:lineRule="exact"/>
              <w:rPr>
                <w:sz w:val="20"/>
                <w:szCs w:val="20"/>
                <w:color w:val="auto"/>
              </w:rPr>
            </w:pPr>
            <w:r>
              <w:rPr>
                <w:rFonts w:ascii="Arial" w:cs="Arial" w:eastAsia="Arial" w:hAnsi="Arial"/>
                <w:sz w:val="19"/>
                <w:szCs w:val="19"/>
                <w:color w:val="auto"/>
              </w:rPr>
              <w:t>Adjusted EBITDA</w:t>
            </w:r>
            <w:r>
              <w:rPr>
                <w:rFonts w:ascii="Arial" w:cs="Arial" w:eastAsia="Arial" w:hAnsi="Arial"/>
                <w:sz w:val="25"/>
                <w:szCs w:val="25"/>
                <w:color w:val="auto"/>
                <w:vertAlign w:val="superscript"/>
              </w:rPr>
              <w:t>2</w:t>
            </w:r>
          </w:p>
        </w:tc>
        <w:tc>
          <w:tcPr>
            <w:tcW w:w="3580" w:type="dxa"/>
            <w:vAlign w:val="bottom"/>
          </w:tcPr>
          <w:p>
            <w:pPr>
              <w:jc w:val="center"/>
              <w:ind w:right="341"/>
              <w:spacing w:after="0" w:line="216" w:lineRule="exact"/>
              <w:rPr>
                <w:sz w:val="20"/>
                <w:szCs w:val="20"/>
                <w:color w:val="auto"/>
              </w:rPr>
            </w:pPr>
            <w:r>
              <w:rPr>
                <w:rFonts w:ascii="Arial" w:cs="Arial" w:eastAsia="Arial" w:hAnsi="Arial"/>
                <w:sz w:val="20"/>
                <w:szCs w:val="20"/>
                <w:color w:val="auto"/>
                <w:w w:val="99"/>
              </w:rPr>
              <w:t>$410 million – $450 million</w:t>
            </w:r>
          </w:p>
        </w:tc>
      </w:tr>
      <w:tr>
        <w:trPr>
          <w:trHeight w:val="216"/>
        </w:trPr>
        <w:tc>
          <w:tcPr>
            <w:tcW w:w="480" w:type="dxa"/>
            <w:vAlign w:val="bottom"/>
          </w:tcPr>
          <w:p>
            <w:pPr>
              <w:spacing w:after="0"/>
              <w:rPr>
                <w:sz w:val="18"/>
                <w:szCs w:val="18"/>
                <w:color w:val="auto"/>
              </w:rPr>
            </w:pPr>
          </w:p>
        </w:tc>
        <w:tc>
          <w:tcPr>
            <w:tcW w:w="5180" w:type="dxa"/>
            <w:vAlign w:val="bottom"/>
            <w:shd w:val="clear" w:color="auto" w:fill="D0CFCD"/>
          </w:tcPr>
          <w:p>
            <w:pPr>
              <w:ind w:left="120"/>
              <w:spacing w:after="0" w:line="216" w:lineRule="exact"/>
              <w:rPr>
                <w:sz w:val="20"/>
                <w:szCs w:val="20"/>
                <w:color w:val="auto"/>
              </w:rPr>
            </w:pPr>
            <w:r>
              <w:rPr>
                <w:rFonts w:ascii="Arial" w:cs="Arial" w:eastAsia="Arial" w:hAnsi="Arial"/>
                <w:sz w:val="19"/>
                <w:szCs w:val="19"/>
                <w:color w:val="auto"/>
              </w:rPr>
              <w:t>Adjusted Net Income</w:t>
            </w:r>
            <w:r>
              <w:rPr>
                <w:rFonts w:ascii="Arial" w:cs="Arial" w:eastAsia="Arial" w:hAnsi="Arial"/>
                <w:sz w:val="25"/>
                <w:szCs w:val="25"/>
                <w:color w:val="auto"/>
                <w:vertAlign w:val="superscript"/>
              </w:rPr>
              <w:t>2</w:t>
            </w:r>
          </w:p>
        </w:tc>
        <w:tc>
          <w:tcPr>
            <w:tcW w:w="3580" w:type="dxa"/>
            <w:vAlign w:val="bottom"/>
            <w:shd w:val="clear" w:color="auto" w:fill="D0CFCD"/>
          </w:tcPr>
          <w:p>
            <w:pPr>
              <w:jc w:val="center"/>
              <w:ind w:right="341"/>
              <w:spacing w:after="0" w:line="216" w:lineRule="exact"/>
              <w:rPr>
                <w:sz w:val="20"/>
                <w:szCs w:val="20"/>
                <w:color w:val="auto"/>
              </w:rPr>
            </w:pPr>
            <w:r>
              <w:rPr>
                <w:rFonts w:ascii="Arial" w:cs="Arial" w:eastAsia="Arial" w:hAnsi="Arial"/>
                <w:sz w:val="20"/>
                <w:szCs w:val="20"/>
                <w:color w:val="auto"/>
                <w:w w:val="99"/>
              </w:rPr>
              <w:t>$152 million – $182 million</w:t>
            </w:r>
          </w:p>
        </w:tc>
      </w:tr>
      <w:tr>
        <w:trPr>
          <w:trHeight w:val="318"/>
        </w:trPr>
        <w:tc>
          <w:tcPr>
            <w:tcW w:w="480" w:type="dxa"/>
            <w:vAlign w:val="bottom"/>
          </w:tcPr>
          <w:p>
            <w:pPr>
              <w:spacing w:after="0"/>
              <w:rPr>
                <w:sz w:val="24"/>
                <w:szCs w:val="24"/>
                <w:color w:val="auto"/>
              </w:rPr>
            </w:pPr>
          </w:p>
        </w:tc>
        <w:tc>
          <w:tcPr>
            <w:tcW w:w="5180" w:type="dxa"/>
            <w:vAlign w:val="bottom"/>
          </w:tcPr>
          <w:p>
            <w:pPr>
              <w:ind w:left="120"/>
              <w:spacing w:after="0"/>
              <w:rPr>
                <w:sz w:val="20"/>
                <w:szCs w:val="20"/>
                <w:color w:val="auto"/>
              </w:rPr>
            </w:pPr>
            <w:r>
              <w:rPr>
                <w:rFonts w:ascii="Arial" w:cs="Arial" w:eastAsia="Arial" w:hAnsi="Arial"/>
                <w:sz w:val="20"/>
                <w:szCs w:val="20"/>
                <w:color w:val="auto"/>
              </w:rPr>
              <w:t>Adjusted Diluted Earnings Per Share</w:t>
            </w:r>
            <w:r>
              <w:rPr>
                <w:rFonts w:ascii="Arial" w:cs="Arial" w:eastAsia="Arial" w:hAnsi="Arial"/>
                <w:sz w:val="26"/>
                <w:szCs w:val="26"/>
                <w:color w:val="auto"/>
                <w:vertAlign w:val="superscript"/>
              </w:rPr>
              <w:t>2</w:t>
            </w:r>
          </w:p>
        </w:tc>
        <w:tc>
          <w:tcPr>
            <w:tcW w:w="3580" w:type="dxa"/>
            <w:vAlign w:val="bottom"/>
          </w:tcPr>
          <w:p>
            <w:pPr>
              <w:jc w:val="center"/>
              <w:ind w:right="341"/>
              <w:spacing w:after="0"/>
              <w:rPr>
                <w:sz w:val="20"/>
                <w:szCs w:val="20"/>
                <w:color w:val="auto"/>
              </w:rPr>
            </w:pPr>
            <w:r>
              <w:rPr>
                <w:rFonts w:ascii="Arial" w:cs="Arial" w:eastAsia="Arial" w:hAnsi="Arial"/>
                <w:sz w:val="20"/>
                <w:szCs w:val="20"/>
                <w:color w:val="auto"/>
                <w:w w:val="99"/>
              </w:rPr>
              <w:t>$0.86 – $1.03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3883660</wp:posOffset>
            </wp:positionH>
            <wp:positionV relativeFrom="paragraph">
              <wp:posOffset>-629920</wp:posOffset>
            </wp:positionV>
            <wp:extent cx="14103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10335" cy="8255"/>
                    </a:xfrm>
                    <a:prstGeom prst="rect">
                      <a:avLst/>
                    </a:prstGeom>
                    <a:noFill/>
                  </pic:spPr>
                </pic:pic>
              </a:graphicData>
            </a:graphic>
          </wp:anchor>
        </w:drawing>
      </w:r>
    </w:p>
    <w:p>
      <w:pPr>
        <w:jc w:val="both"/>
        <w:ind w:firstLine="4"/>
        <w:spacing w:after="0" w:line="233" w:lineRule="auto"/>
        <w:tabs>
          <w:tab w:leader="none" w:pos="107"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A reconciliation of the foregoing guidance for the non-GAAP metrics of Adjusted EBITDA and Adjusted Net Income to GAAP net (loss) income and Adjusted Diluted Earnings Per Share to GAAP diluted net (loss) income per share cannot be provided without unreasonable effort because of the inherent difficulty of accurately forecasting the occurrence and financial impact of the various adjusting items necessary for such reconciliation that have not yet occurred, are out of our control, or cannot be reasonably predicted. For the same reasons, the Company is unable to assess the probable significance of the unavailable information, which could have a material impact on its future GAAP financial results.</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Actual results may differ materially from First Advantage’s full-year 2025 guidance as a result of, among other things, the factors described under “Forward-Looking Statements” below.</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Information</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First Advantage will host a conference call to review its fourth quarter and full year 2024 results today, February 27, 2025, at 8:30 a.m. ET.</w:t>
      </w:r>
    </w:p>
    <w:p>
      <w:pPr>
        <w:spacing w:after="0" w:line="128"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To participate in the conference call, please dial 800-445-7795 (domestic) or 785-424-1699 (international) approximately ten minutes before the 8:30 a.m. ET start. Please mention to the operator that you are dialing in for the First Advantage fourth quarter and full year 2024 earnings call or provide the conference code FA4Q24. The call will also be webcast live on the Company’s investor relations website at https://investors.fadv.com under the “News &amp; Events” and then “Events &amp; Presentations” section, where related presentation materials will be posted prior to the conference call.</w:t>
      </w:r>
    </w:p>
    <w:p>
      <w:pPr>
        <w:spacing w:after="0" w:line="13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Following the conference call, a replay of the webcast will be available on the Company’s investor relations website, https://investors.fadv.com. Alternatively, the live webcast and subsequent replay will be available at https://event.on24.com/wcc/r/4818015/A54E8C5466B3E71E29525C125548AFA6.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701040</wp:posOffset>
            </wp:positionV>
            <wp:extent cx="70377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2" w:right="109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Forward-Looking Statements</w:t>
      </w:r>
    </w:p>
    <w:p>
      <w:pPr>
        <w:spacing w:after="0" w:line="164"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These forward-looking statements reflect our current views with respect to, among other things, our operations and financial performance. Forward-looking statements include all statements that are not historical facts. These forward-looking statements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“assume,” “believe,” “continue,” “could,” “estimate,” “expect,” “intend,” “may,” “plan,” “potential,” “predict,” “project,” “future,” “will,” “seek,” “foreseeable,” "target," “guidance,” the negative version of these words, or similar terms and phrases.</w:t>
      </w:r>
    </w:p>
    <w:p>
      <w:pPr>
        <w:spacing w:after="0" w:line="14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These forward-looking statements are subject to various risks, uncertainties, assumptions, or changes in circumstances that are difficult to predict or quantify. Such risks and uncertainties include, but are not limited to, the following:</w:t>
      </w:r>
    </w:p>
    <w:p>
      <w:pPr>
        <w:spacing w:after="0" w:line="131" w:lineRule="exact"/>
        <w:rPr>
          <w:sz w:val="20"/>
          <w:szCs w:val="20"/>
          <w:color w:val="auto"/>
        </w:rPr>
      </w:pPr>
    </w:p>
    <w:p>
      <w:pPr>
        <w:jc w:val="both"/>
        <w:ind w:left="880" w:hanging="436"/>
        <w:spacing w:after="0" w:line="231" w:lineRule="auto"/>
        <w:tabs>
          <w:tab w:leader="none" w:pos="88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negative changes in external events beyond our control, including our customers’ onboarding volumes, economic drivers which are sensitive to macroeconomic cycles, such as interest rate volatility and inflation, geopolitical unrest, and uncertainty in financial markets;</w:t>
      </w:r>
    </w:p>
    <w:p>
      <w:pPr>
        <w:spacing w:after="0" w:line="1" w:lineRule="exact"/>
        <w:rPr>
          <w:rFonts w:ascii="Times New Roman" w:cs="Times New Roman" w:eastAsia="Times New Roman" w:hAnsi="Times New Roman"/>
          <w:sz w:val="20"/>
          <w:szCs w:val="20"/>
          <w:color w:val="auto"/>
        </w:rPr>
      </w:pPr>
    </w:p>
    <w:p>
      <w:pPr>
        <w:jc w:val="both"/>
        <w:ind w:left="880" w:hanging="436"/>
        <w:spacing w:after="0" w:line="225" w:lineRule="auto"/>
        <w:tabs>
          <w:tab w:leader="none" w:pos="88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our operations in a highly regulated industry and the fact that we are subject to numerous and evolving laws and regulations, including with respect to personal data, data security, and artificial intelligence;</w:t>
      </w:r>
    </w:p>
    <w:p>
      <w:pPr>
        <w:ind w:left="880" w:hanging="436"/>
        <w:spacing w:after="0" w:line="238" w:lineRule="auto"/>
        <w:tabs>
          <w:tab w:leader="none" w:pos="88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inability to identify and successfully implement our growth strategies on a timely basis or at all;</w:t>
      </w:r>
    </w:p>
    <w:p>
      <w:pPr>
        <w:ind w:left="880" w:hanging="436"/>
        <w:spacing w:after="0" w:line="224" w:lineRule="auto"/>
        <w:tabs>
          <w:tab w:leader="none" w:pos="88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potential harm to our business, brand, and reputation as a result of security breaches, cyber-attacks, or the mishandling of personal data;</w:t>
      </w:r>
    </w:p>
    <w:p>
      <w:pPr>
        <w:spacing w:after="0" w:line="1" w:lineRule="exact"/>
        <w:rPr>
          <w:rFonts w:ascii="Times New Roman" w:cs="Times New Roman" w:eastAsia="Times New Roman" w:hAnsi="Times New Roman"/>
          <w:sz w:val="20"/>
          <w:szCs w:val="20"/>
          <w:color w:val="auto"/>
        </w:rPr>
      </w:pPr>
    </w:p>
    <w:p>
      <w:pPr>
        <w:ind w:left="880" w:hanging="436"/>
        <w:spacing w:after="0" w:line="238" w:lineRule="auto"/>
        <w:tabs>
          <w:tab w:leader="none" w:pos="88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our reliance on third-party data providers;</w:t>
      </w:r>
    </w:p>
    <w:p>
      <w:pPr>
        <w:jc w:val="both"/>
        <w:ind w:left="880" w:hanging="436"/>
        <w:spacing w:after="0" w:line="225" w:lineRule="auto"/>
        <w:tabs>
          <w:tab w:leader="none" w:pos="88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due to the sensitive and privacy-driven nature of our products and solutions, we could face liability and legal or regulatory proceedings, which could be costly and time-consuming to defend and may not be fully covered by insurance;</w:t>
      </w:r>
    </w:p>
    <w:p>
      <w:pPr>
        <w:ind w:left="880" w:hanging="436"/>
        <w:spacing w:after="0" w:line="238" w:lineRule="auto"/>
        <w:tabs>
          <w:tab w:leader="none" w:pos="88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our international business exposes us to a number of risks;</w:t>
      </w:r>
    </w:p>
    <w:p>
      <w:pPr>
        <w:jc w:val="both"/>
        <w:ind w:left="880" w:hanging="436"/>
        <w:spacing w:after="0" w:line="225" w:lineRule="auto"/>
        <w:tabs>
          <w:tab w:leader="none" w:pos="88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the continued integration of our platforms and solutions with human resource providers such as applicant tracking systems and human capital management systems as well as our relationships with such human resource providers;</w:t>
      </w:r>
    </w:p>
    <w:p>
      <w:pPr>
        <w:ind w:left="880" w:hanging="436"/>
        <w:spacing w:after="0" w:line="224" w:lineRule="auto"/>
        <w:tabs>
          <w:tab w:leader="none" w:pos="88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our ability to obtain, maintain, protect and enforce our intellectual property and other proprietary information;</w:t>
      </w:r>
    </w:p>
    <w:p>
      <w:pPr>
        <w:spacing w:after="0" w:line="1" w:lineRule="exact"/>
        <w:rPr>
          <w:rFonts w:ascii="Times New Roman" w:cs="Times New Roman" w:eastAsia="Times New Roman" w:hAnsi="Times New Roman"/>
          <w:sz w:val="20"/>
          <w:szCs w:val="20"/>
          <w:color w:val="auto"/>
        </w:rPr>
      </w:pPr>
    </w:p>
    <w:p>
      <w:pPr>
        <w:ind w:left="880" w:hanging="436"/>
        <w:spacing w:after="0" w:line="224" w:lineRule="auto"/>
        <w:tabs>
          <w:tab w:leader="none" w:pos="88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disruptions, outages, or other errors with our technology and network infrastructure, including our data centers, servers, and third-party cloud and internet providers and our migration to the cloud;</w:t>
      </w:r>
    </w:p>
    <w:p>
      <w:pPr>
        <w:spacing w:after="0" w:line="1" w:lineRule="exact"/>
        <w:rPr>
          <w:rFonts w:ascii="Times New Roman" w:cs="Times New Roman" w:eastAsia="Times New Roman" w:hAnsi="Times New Roman"/>
          <w:sz w:val="20"/>
          <w:szCs w:val="20"/>
          <w:color w:val="auto"/>
        </w:rPr>
      </w:pPr>
    </w:p>
    <w:p>
      <w:pPr>
        <w:jc w:val="both"/>
        <w:ind w:left="880" w:hanging="436"/>
        <w:spacing w:after="0" w:line="225" w:lineRule="auto"/>
        <w:tabs>
          <w:tab w:leader="none" w:pos="88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our indebtedness could adversely affect our ability to raise additional capital to fund our operations, limit our ability to react to changes in the economy or our industry, and prevent us from meeting our obligations;</w:t>
      </w:r>
    </w:p>
    <w:p>
      <w:pPr>
        <w:ind w:left="880" w:hanging="436"/>
        <w:spacing w:after="0" w:line="238" w:lineRule="auto"/>
        <w:tabs>
          <w:tab w:leader="none" w:pos="88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the failure to realize the expected benefits of our acquisition of Sterling Check Corp.; and</w:t>
      </w:r>
    </w:p>
    <w:p>
      <w:pPr>
        <w:ind w:left="880" w:hanging="436"/>
        <w:spacing w:after="0" w:line="239" w:lineRule="auto"/>
        <w:tabs>
          <w:tab w:leader="none" w:pos="88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control by our Sponsor, "Silver Lake" (Silver Lake Group, L.L.C., together with its affiliates, successors, and assignees) and its interests may conflict with ours or those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589915</wp:posOffset>
            </wp:positionV>
            <wp:extent cx="70377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0" w:right="1099" w:bottom="1440" w:gutter="0" w:footer="0" w:header="0"/>
        </w:sectPr>
      </w:pPr>
    </w:p>
    <w:bookmarkStart w:id="7" w:name="page8"/>
    <w:bookmarkEnd w:id="7"/>
    <w:p>
      <w:pPr>
        <w:jc w:val="both"/>
        <w:spacing w:after="0" w:line="230" w:lineRule="auto"/>
        <w:rPr>
          <w:sz w:val="20"/>
          <w:szCs w:val="20"/>
          <w:color w:val="auto"/>
        </w:rPr>
      </w:pPr>
      <w:r>
        <w:rPr>
          <w:rFonts w:ascii="Arial" w:cs="Arial" w:eastAsia="Arial" w:hAnsi="Arial"/>
          <w:sz w:val="20"/>
          <w:szCs w:val="20"/>
          <w:color w:val="auto"/>
        </w:rPr>
        <w:t>For additional information on these and other factors that could cause First Advantage’s actual results to differ materially from expected results, please see our Annual Report on Form 10-K for the year ended December 31, 2023, filed with the Securities and Exchange Commission (the “SEC”), as such factors may be updated from time to time in our filings with the SEC, including the Company’s Annual Report on Form 10-K for the fiscal year ended December 31, 2024, which is expected to be filed after this press release, which are or will be accessible on the SEC’s website at www.sec.gov. The forward-looking statements included in this press release are made only as of the date of this press release, and we undertake no obligation to publicly update or review any forward-looking statement, whether as a result of new information, future developments, or otherwise, except as required by law.</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Information</w:t>
      </w:r>
    </w:p>
    <w:p>
      <w:pPr>
        <w:spacing w:after="0" w:line="16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This press release contains “non-GAAP financial measures” that are financial measures that either exclude or include amounts that are not excluded or included in the most directly comparable measures calculated and presented in accordance with accounting principles generally accepted in the United States (“GAAP”). Specifically, we make use of the non-GAAP financial measures “Adjusted EBITDA,” “Adjusted EBITDA Margin,” “Adjusted Net Income,” “Adjusted Diluted Earnings Per Share,” “Constant Currency Revenues,” “Constant Currency Adjusted EBITDA,” and “Adjusted Operating Cash Flow.”</w:t>
      </w:r>
    </w:p>
    <w:p>
      <w:pPr>
        <w:spacing w:after="0" w:line="13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Adjusted EBITDA, Adjusted EBITDA Margin, Adjusted Net Income, Adjusted Diluted Earnings Per Share, Constant Currency Revenues, and Constant Currency Adjusted EBITDA have been presented in this press release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these non-GAAP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Adjusted EBITDA, Adjusted EBITDA Margin, Adjusted Net Income, Adjusted Diluted Earnings Per Share, Constant Currency Revenues, and Constant Currency Adjusted EBITDA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15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Adjusted EBITDA, Adjusted EBITDA Margin, Adjusted Net Income, Adjusted Diluted Earnings Per Share, Constant Currency Revenues, and Constant Currency Adjusted EBITDA are not recognized terms under GAAP and should not be considered as an alternative to net income (loss) as a measure of financial performance or cash provided by (used in) operating activities as a measure of liquidity, or any other performance measure derived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703580</wp:posOffset>
            </wp:positionV>
            <wp:extent cx="70377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57" w:right="1099" w:bottom="1440" w:gutter="0" w:footer="0" w:header="0"/>
        </w:sectPr>
      </w:pPr>
    </w:p>
    <w:bookmarkStart w:id="8" w:name="page9"/>
    <w:bookmarkEnd w:id="8"/>
    <w:p>
      <w:pPr>
        <w:jc w:val="both"/>
        <w:spacing w:after="0" w:line="229" w:lineRule="auto"/>
        <w:rPr>
          <w:sz w:val="20"/>
          <w:szCs w:val="20"/>
          <w:color w:val="auto"/>
        </w:rPr>
      </w:pPr>
      <w:r>
        <w:rPr>
          <w:rFonts w:ascii="Arial" w:cs="Arial" w:eastAsia="Arial" w:hAnsi="Arial"/>
          <w:sz w:val="20"/>
          <w:szCs w:val="20"/>
          <w:color w:val="auto"/>
        </w:rPr>
        <w:t>We define Adjusted EBITDA as net (loss) income before interest, taxes, depreciation, and amortization, and as further adjusted for loss on extinguishment of debt, share-based compensation, transaction and acquisition-related charges, integration and restructuring charges, and other non-cash charges. We define Adjusted EBITDA Margin as Adjusted EBITDA divided by total revenues. We define Adjusted Net Income for a particular period as net (loss) income before taxes adjusted for debt-related costs, acquisition-related depreciation and amortization, share-based compensation, transaction and acquisition-related charges, integration and restructuring charges, and other non-cash charges, to which we then apply the related effective tax rate. We define Adjusted Diluted Earnings Per Share as Adjusted Net Income divided by adjusted weighted average number of shares outstanding—diluted. We define Constant Currency Revenues as current period revenues translated using prior-year period exchange rates. We define Constant Currency Adjusted EBITDA as current period Adjusted EBITDA translated using prior-year period exchange rates.</w:t>
      </w:r>
    </w:p>
    <w:p>
      <w:pPr>
        <w:spacing w:after="0" w:line="138"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Additionally, we use Adjusted Operating Cash Flow to review the liquidity of our operations. We define Adjusted Operating Cash Flow as cash flows from operating activities less cash costs directly associated with the Sterling acquisition. We believe Adjusted Operating Cash Flow is a useful supplemental financial measure for management and investors in assessing the Company’s ability to pursue business opportunities and investments and to service its debt. Adjusted Operating Cash Flow is not a measure of our liquidity under GAAP and should not be considered as an alternative to cash flows from operating activities.</w:t>
      </w:r>
    </w:p>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For reconciliations of these non-GAAP financial measures to the most directly comparable GAAP measures, see the reconciliations included at the end of this press release.</w:t>
      </w:r>
    </w:p>
    <w:p>
      <w:pPr>
        <w:spacing w:after="0" w:line="11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w:t>
      </w:r>
    </w:p>
    <w:p>
      <w:pPr>
        <w:spacing w:after="0" w:line="13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Numerical figures included in the reconciliations have been subject to rounding adjustments. Accordingly, numerical figures shown as totals in various tables may not be arithmetic aggregations of the figures that precede them.</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First Advantage</w:t>
      </w:r>
    </w:p>
    <w:p>
      <w:pPr>
        <w:spacing w:after="0" w:line="16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First Advantage (NASDAQ: FA) is a leading global provider of employment background screening, identity, and verification solutions. Enabled by its proprietary technology, First Advantage delivers innovative services and insights that help customers mitigate risk and hire the best talent: employees, contractors, contingent workers, tenants, and drivers. Headquartered in Atlanta, Georgia, First Advantage performs screens in over 200 countries and territories on behalf of its 80,000 customers. For more information about how to hire smarter and onboard faster with First Advantage, visit the Company’s website at https://fadv.com/.</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Stephanie Gorman</w:t>
      </w:r>
    </w:p>
    <w:p>
      <w:pPr>
        <w:spacing w:after="0" w:line="229" w:lineRule="auto"/>
        <w:rPr>
          <w:sz w:val="20"/>
          <w:szCs w:val="20"/>
          <w:color w:val="auto"/>
        </w:rPr>
      </w:pPr>
      <w:r>
        <w:rPr>
          <w:rFonts w:ascii="Arial" w:cs="Arial" w:eastAsia="Arial" w:hAnsi="Arial"/>
          <w:sz w:val="20"/>
          <w:szCs w:val="20"/>
          <w:color w:val="auto"/>
        </w:rPr>
        <w:t>Vice President, Investor Relations</w:t>
      </w:r>
    </w:p>
    <w:p>
      <w:pPr>
        <w:spacing w:after="0" w:line="226" w:lineRule="auto"/>
        <w:rPr>
          <w:sz w:val="20"/>
          <w:szCs w:val="20"/>
          <w:color w:val="auto"/>
        </w:rPr>
      </w:pPr>
      <w:r>
        <w:rPr>
          <w:rFonts w:ascii="Arial" w:cs="Arial" w:eastAsia="Arial" w:hAnsi="Arial"/>
          <w:sz w:val="20"/>
          <w:szCs w:val="20"/>
          <w:color w:val="auto"/>
        </w:rPr>
        <w:t>Investors@fadv.com</w:t>
      </w:r>
    </w:p>
    <w:p>
      <w:pPr>
        <w:spacing w:after="0"/>
        <w:rPr>
          <w:sz w:val="20"/>
          <w:szCs w:val="20"/>
          <w:color w:val="auto"/>
        </w:rPr>
      </w:pPr>
      <w:r>
        <w:rPr>
          <w:rFonts w:ascii="Arial" w:cs="Arial" w:eastAsia="Arial" w:hAnsi="Arial"/>
          <w:sz w:val="20"/>
          <w:szCs w:val="20"/>
          <w:color w:val="auto"/>
        </w:rPr>
        <w:t>(888) 314-9761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598170</wp:posOffset>
            </wp:positionV>
            <wp:extent cx="70377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2" w:right="109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20"/>
          <w:szCs w:val="20"/>
          <w:b w:val="1"/>
          <w:bCs w:val="1"/>
          <w:color w:val="auto"/>
        </w:rPr>
        <w:t>Condensed Financial Statements</w:t>
      </w:r>
    </w:p>
    <w:p>
      <w:pPr>
        <w:spacing w:after="0" w:line="2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First Advantage Corporation</w:t>
      </w:r>
    </w:p>
    <w:p>
      <w:pPr>
        <w:spacing w:after="0" w:line="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660" w:type="dxa"/>
            <w:vAlign w:val="bottom"/>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168,688</w:t>
            </w:r>
          </w:p>
        </w:tc>
        <w:tc>
          <w:tcPr>
            <w:tcW w:w="5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213,774</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795</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138</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666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$3,832 and $1,036 at</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December 31, 2024 and 2023, respectively)</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266,800</w:t>
            </w: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142,690</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31,041</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13,426</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receivable</w:t>
            </w: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8,669</w:t>
            </w:r>
          </w:p>
        </w:tc>
        <w:tc>
          <w:tcPr>
            <w:tcW w:w="1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3,710</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6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475,993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373,738</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307,539</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79,441</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2,124,528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820,654</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987,948</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344,014</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 asset, net</w:t>
            </w:r>
          </w:p>
        </w:tc>
        <w:tc>
          <w:tcPr>
            <w:tcW w:w="32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5,682</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2,786</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21,203</w:t>
            </w:r>
          </w:p>
        </w:tc>
        <w:tc>
          <w:tcPr>
            <w:tcW w:w="1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10,021</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3,922,893</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1,630,654</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66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120,872</w:t>
            </w:r>
          </w:p>
        </w:tc>
        <w:tc>
          <w:tcPr>
            <w:tcW w:w="5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47,024</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32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52,805</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16,379</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44,700</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16,162</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21,850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4,245</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3,354</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payable</w:t>
            </w:r>
          </w:p>
        </w:tc>
        <w:tc>
          <w:tcPr>
            <w:tcW w:w="32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1,942</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264</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revenues</w:t>
            </w: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4,274</w:t>
            </w:r>
          </w:p>
        </w:tc>
        <w:tc>
          <w:tcPr>
            <w:tcW w:w="1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1,856</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250,688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85,039</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666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Long-term debt (net of deferred financing costs of $41,861 and $6,268 at December</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31, 2024 and 2023, respectively)</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2,121,289</w:t>
            </w: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558,456</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32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222,738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71,274</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liability, less current portion</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9,149</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5,931</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11,990</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3,221</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2,615,854</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723,921</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666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 $0.001 par value; 1,000,000,000 shares authorized, 173,171,145 and</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145,074,802 shares issued and outstanding as of December 31, 2024 and 2023,</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145</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2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1,504,007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977,290</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(159,808 )</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(49,545 )</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(37,333 )</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(21,157 )</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equity</w:t>
            </w: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1,307,039</w:t>
            </w:r>
          </w:p>
        </w:tc>
        <w:tc>
          <w:tcPr>
            <w:tcW w:w="1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906,733</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3,922,893</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1,630,654</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5"/>
        </w:trPr>
        <w:tc>
          <w:tcPr>
            <w:tcW w:w="660" w:type="dxa"/>
            <w:vAlign w:val="bottom"/>
            <w:tcBorders>
              <w:bottom w:val="single" w:sz="8" w:color="9A9A9A"/>
            </w:tcBorders>
          </w:tcPr>
          <w:p>
            <w:pPr>
              <w:spacing w:after="0"/>
              <w:rPr>
                <w:sz w:val="24"/>
                <w:szCs w:val="24"/>
                <w:color w:val="auto"/>
              </w:rPr>
            </w:pPr>
          </w:p>
        </w:tc>
        <w:tc>
          <w:tcPr>
            <w:tcW w:w="6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5573395</wp:posOffset>
            </wp:positionH>
            <wp:positionV relativeFrom="paragraph">
              <wp:posOffset>-5262880</wp:posOffset>
            </wp:positionV>
            <wp:extent cx="946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5573395</wp:posOffset>
            </wp:positionH>
            <wp:positionV relativeFrom="paragraph">
              <wp:posOffset>-4431030</wp:posOffset>
            </wp:positionV>
            <wp:extent cx="946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5573395</wp:posOffset>
            </wp:positionH>
            <wp:positionV relativeFrom="paragraph">
              <wp:posOffset>-3025140</wp:posOffset>
            </wp:positionV>
            <wp:extent cx="946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5573395</wp:posOffset>
            </wp:positionH>
            <wp:positionV relativeFrom="paragraph">
              <wp:posOffset>-942340</wp:posOffset>
            </wp:positionV>
            <wp:extent cx="946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977" w:right="4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First Advantage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jc w:val="right"/>
              <w:ind w:right="1053"/>
              <w:spacing w:after="0"/>
              <w:rPr>
                <w:sz w:val="20"/>
                <w:szCs w:val="20"/>
                <w:color w:val="auto"/>
              </w:rPr>
            </w:pPr>
            <w:r>
              <w:rPr>
                <w:rFonts w:ascii="Times New Roman" w:cs="Times New Roman" w:eastAsia="Times New Roman" w:hAnsi="Times New Roman"/>
                <w:sz w:val="14"/>
                <w:szCs w:val="14"/>
                <w:b w:val="1"/>
                <w:bCs w:val="1"/>
                <w:color w:val="auto"/>
              </w:rPr>
              <w:t>Interim Periods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891"/>
              <w:spacing w:after="0"/>
              <w:rPr>
                <w:sz w:val="20"/>
                <w:szCs w:val="20"/>
                <w:color w:val="auto"/>
              </w:rPr>
            </w:pPr>
            <w:r>
              <w:rPr>
                <w:rFonts w:ascii="Times New Roman" w:cs="Times New Roman" w:eastAsia="Times New Roman" w:hAnsi="Times New Roman"/>
                <w:sz w:val="14"/>
                <w:szCs w:val="14"/>
                <w:b w:val="1"/>
                <w:bCs w:val="1"/>
                <w:color w:val="auto"/>
              </w:rPr>
              <w:t>Annual Periods</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6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tcPr>
          <w:p>
            <w:pPr>
              <w:jc w:val="center"/>
              <w:ind w:right="133"/>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jc w:val="center"/>
              <w:ind w:right="133"/>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center"/>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ind w:right="13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c>
          <w:tcPr>
            <w:tcW w:w="1360" w:type="dxa"/>
            <w:vAlign w:val="bottom"/>
            <w:tcBorders>
              <w:bottom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380" w:type="dxa"/>
            <w:vAlign w:val="bottom"/>
            <w:tcBorders>
              <w:bottom w:val="single" w:sz="8" w:color="auto"/>
            </w:tcBorders>
            <w:gridSpan w:val="2"/>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307,124</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202,562</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860,205</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763,761</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360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Cost of services (exclusive of depreciation</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amortization below)</w:t>
            </w:r>
          </w:p>
        </w:tc>
        <w:tc>
          <w:tcPr>
            <w:tcW w:w="140" w:type="dxa"/>
            <w:vAlign w:val="bottom"/>
          </w:tcPr>
          <w:p>
            <w:pPr>
              <w:spacing w:after="0"/>
              <w:rPr>
                <w:sz w:val="20"/>
                <w:szCs w:val="20"/>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168,492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101,309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448,911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386,777</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Product and technology expense</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24,765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10,889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63,817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49,263</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40" w:type="dxa"/>
            <w:vAlign w:val="bottom"/>
          </w:tcPr>
          <w:p>
            <w:pPr>
              <w:spacing w:after="0"/>
              <w:rPr>
                <w:sz w:val="18"/>
                <w:szCs w:val="18"/>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138,590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27,851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263,942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116,732</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55,951</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33,132</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145,919</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129,473</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387,798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173,181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922,589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682,245</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1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(80,674 )</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29,381</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(62,384 )</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81,516</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18"/>
                <w:szCs w:val="18"/>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23,734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12,915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51,848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33,040</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expense, net</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24,117</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12,915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52,231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33,040</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360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(LOSS) INCOME BEFORE PROVISION FOR</w:t>
            </w:r>
          </w:p>
        </w:tc>
        <w:tc>
          <w:tcPr>
            <w:tcW w:w="14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(104,791 )</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16,466</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(114,615 )</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48,476</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(4,425 )</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(4,342 )</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11,183</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(100,366 )</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14,813</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(110,273 )</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37,293</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6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(loss) income</w:t>
            </w:r>
          </w:p>
        </w:tc>
        <w:tc>
          <w:tcPr>
            <w:tcW w:w="1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(18,636 )</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(16,176 )</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1,174</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(119,002 )</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16,510</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(126,449 )</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38,467</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3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(100,366 )</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14,813</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(110,273 )</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37,293</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net (loss) income per share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0.10</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(0.74 )</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0.26</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(loss) income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0.10</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(0.74 )</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0.26</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36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basic</w:t>
            </w: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162,774,306</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143,167,422</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148,582,226</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144,083,808</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36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diluted</w:t>
            </w:r>
          </w:p>
        </w:tc>
        <w:tc>
          <w:tcPr>
            <w:tcW w:w="140" w:type="dxa"/>
            <w:vAlign w:val="bottom"/>
          </w:tcPr>
          <w:p>
            <w:pPr>
              <w:spacing w:after="0"/>
              <w:rPr>
                <w:sz w:val="20"/>
                <w:szCs w:val="20"/>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162,774,306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144,969,753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148,582,226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146,226,096</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95"/>
        </w:trPr>
        <w:tc>
          <w:tcPr>
            <w:tcW w:w="66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3687445</wp:posOffset>
            </wp:positionH>
            <wp:positionV relativeFrom="paragraph">
              <wp:posOffset>-3899535</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4725035</wp:posOffset>
            </wp:positionH>
            <wp:positionV relativeFrom="paragraph">
              <wp:posOffset>-3899535</wp:posOffset>
            </wp:positionV>
            <wp:extent cx="603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5650865</wp:posOffset>
            </wp:positionH>
            <wp:positionV relativeFrom="paragraph">
              <wp:posOffset>-3899535</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3687445</wp:posOffset>
            </wp:positionH>
            <wp:positionV relativeFrom="paragraph">
              <wp:posOffset>-3608070</wp:posOffset>
            </wp:positionV>
            <wp:extent cx="603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4725035</wp:posOffset>
            </wp:positionH>
            <wp:positionV relativeFrom="paragraph">
              <wp:posOffset>-3608070</wp:posOffset>
            </wp:positionV>
            <wp:extent cx="603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5650865</wp:posOffset>
            </wp:positionH>
            <wp:positionV relativeFrom="paragraph">
              <wp:posOffset>-3608070</wp:posOffset>
            </wp:positionV>
            <wp:extent cx="603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3687445</wp:posOffset>
            </wp:positionH>
            <wp:positionV relativeFrom="paragraph">
              <wp:posOffset>-3051175</wp:posOffset>
            </wp:positionV>
            <wp:extent cx="60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4725035</wp:posOffset>
            </wp:positionH>
            <wp:positionV relativeFrom="paragraph">
              <wp:posOffset>-3051175</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5650865</wp:posOffset>
            </wp:positionH>
            <wp:positionV relativeFrom="paragraph">
              <wp:posOffset>-3051175</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3687445</wp:posOffset>
            </wp:positionH>
            <wp:positionV relativeFrom="paragraph">
              <wp:posOffset>-2339340</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3687445</wp:posOffset>
            </wp:positionH>
            <wp:positionV relativeFrom="paragraph">
              <wp:posOffset>-2322195</wp:posOffset>
            </wp:positionV>
            <wp:extent cx="603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4725035</wp:posOffset>
            </wp:positionH>
            <wp:positionV relativeFrom="paragraph">
              <wp:posOffset>-2339340</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4725035</wp:posOffset>
            </wp:positionH>
            <wp:positionV relativeFrom="paragraph">
              <wp:posOffset>-2322195</wp:posOffset>
            </wp:positionV>
            <wp:extent cx="603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5650865</wp:posOffset>
            </wp:positionH>
            <wp:positionV relativeFrom="paragraph">
              <wp:posOffset>-2339340</wp:posOffset>
            </wp:positionV>
            <wp:extent cx="60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5650865</wp:posOffset>
            </wp:positionH>
            <wp:positionV relativeFrom="paragraph">
              <wp:posOffset>-2322195</wp:posOffset>
            </wp:positionV>
            <wp:extent cx="603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3687445</wp:posOffset>
            </wp:positionH>
            <wp:positionV relativeFrom="paragraph">
              <wp:posOffset>-2039620</wp:posOffset>
            </wp:positionV>
            <wp:extent cx="603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4725035</wp:posOffset>
            </wp:positionH>
            <wp:positionV relativeFrom="paragraph">
              <wp:posOffset>-2039620</wp:posOffset>
            </wp:positionV>
            <wp:extent cx="603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5650865</wp:posOffset>
            </wp:positionH>
            <wp:positionV relativeFrom="paragraph">
              <wp:posOffset>-2039620</wp:posOffset>
            </wp:positionV>
            <wp:extent cx="603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981" w:right="4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First Advantage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0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5980" w:type="dxa"/>
            <w:vAlign w:val="bottom"/>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7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(110,273 )</w:t>
            </w:r>
          </w:p>
        </w:tc>
        <w:tc>
          <w:tcPr>
            <w:tcW w:w="6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37,293</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income to net cash provided by operating activities:</w:t>
            </w: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145,919</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129,473</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383</w:t>
            </w: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40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2,619</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1,807</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Bad debt expense (recovery)</w:t>
            </w: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taxes</w:t>
            </w: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(31,418 )</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(19,497 )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Share-based compensation</w:t>
            </w: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31,762</w:t>
            </w: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15,265</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foreign currency exchange rates</w:t>
            </w:r>
          </w:p>
        </w:tc>
        <w:tc>
          <w:tcPr>
            <w:tcW w:w="40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(Gain) loss on disposal of fixed assets and impairment of ROU assets</w:t>
            </w: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(275 )</w:t>
            </w: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1,608</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 in fair value of interest rate swaps</w:t>
            </w: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(10,511 )</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40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20,775</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2,339</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(1,908 )</w:t>
            </w: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13,440</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(25,450 )</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(8,503 )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5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compensation and accrued liabilities</w:t>
            </w: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7,176</w:t>
            </w: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(9,301 )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revenues</w:t>
            </w:r>
          </w:p>
        </w:tc>
        <w:tc>
          <w:tcPr>
            <w:tcW w:w="40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762</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788</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(883 )</w:t>
            </w: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(1,378 )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liabilities</w:t>
            </w: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(961 )</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347</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taxes receivable and payable, net</w:t>
            </w:r>
          </w:p>
        </w:tc>
        <w:tc>
          <w:tcPr>
            <w:tcW w:w="4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321</w:t>
            </w:r>
          </w:p>
        </w:tc>
        <w:tc>
          <w:tcPr>
            <w:tcW w:w="8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(929 )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5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28,196</w:t>
            </w:r>
          </w:p>
        </w:tc>
        <w:tc>
          <w:tcPr>
            <w:tcW w:w="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162,820</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Acquisitions of businesses, net of cash acquired</w:t>
            </w: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(1,619,812 )</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(41,122 )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5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(1,720 )</w:t>
            </w: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(2,085 )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(30,545 )</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(25,614 )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4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1,974</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5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(1,651,988 )</w:t>
            </w:r>
          </w:p>
        </w:tc>
        <w:tc>
          <w:tcPr>
            <w:tcW w:w="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(66,847 )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Borrowings from First Lien Credit Facility</w:t>
            </w:r>
          </w:p>
        </w:tc>
        <w:tc>
          <w:tcPr>
            <w:tcW w:w="40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1,679,093</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Repayments of First Lien Credit Facility</w:t>
            </w: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(59,200 )</w:t>
            </w: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(38,212 )</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stock under share-based compensation plans</w:t>
            </w: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14,653</w:t>
            </w: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4,565</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settlement of share-based compensation plan awards</w:t>
            </w: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(14,305 )</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Payments on deferred purchase agreements</w:t>
            </w: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(703 )</w:t>
            </w: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(938 )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dividends paid</w:t>
            </w: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(255 )</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(217,739 )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Share repurchases</w:t>
            </w: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(58,990 )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on finance lease obligations</w:t>
            </w: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59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4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1,581,065</w:t>
            </w:r>
          </w:p>
        </w:tc>
        <w:tc>
          <w:tcPr>
            <w:tcW w:w="8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(273,556 )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on cash, cash equivalents, and restricted cash</w:t>
            </w: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(1,702 )</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(Decrease) increase in cash, cash equivalents, and restricted cash</w:t>
            </w: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(44,429 )</w:t>
            </w: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(177,884 )</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213,912</w:t>
            </w:r>
          </w:p>
        </w:tc>
        <w:tc>
          <w:tcPr>
            <w:tcW w:w="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391,796</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4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169,483</w:t>
            </w:r>
          </w:p>
        </w:tc>
        <w:tc>
          <w:tcPr>
            <w:tcW w:w="6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213,912</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5980" w:type="dxa"/>
            <w:vAlign w:val="bottom"/>
            <w:tcBorders>
              <w:top w:val="single" w:sz="8" w:color="CFF0FC"/>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income taxes, net of refunds received</w:t>
            </w: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23,388</w:t>
            </w:r>
          </w:p>
        </w:tc>
        <w:tc>
          <w:tcPr>
            <w:tcW w:w="6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31,623</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4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65,767</w:t>
            </w:r>
          </w:p>
        </w:tc>
        <w:tc>
          <w:tcPr>
            <w:tcW w:w="6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45,697</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acquired on account</w:t>
            </w:r>
          </w:p>
        </w:tc>
        <w:tc>
          <w:tcPr>
            <w:tcW w:w="4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539</w:t>
            </w:r>
          </w:p>
        </w:tc>
        <w:tc>
          <w:tcPr>
            <w:tcW w:w="6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118</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property and equipment additions</w:t>
            </w: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540</w:t>
            </w:r>
          </w:p>
        </w:tc>
        <w:tc>
          <w:tcPr>
            <w:tcW w:w="6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Excise taxes on share repurchases incurred but not paid</w:t>
            </w:r>
          </w:p>
        </w:tc>
        <w:tc>
          <w:tcPr>
            <w:tcW w:w="4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490</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but not paid</w:t>
            </w: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614</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7"/>
        </w:trPr>
        <w:tc>
          <w:tcPr>
            <w:tcW w:w="66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5367655</wp:posOffset>
            </wp:positionH>
            <wp:positionV relativeFrom="paragraph">
              <wp:posOffset>-4843145</wp:posOffset>
            </wp:positionV>
            <wp:extent cx="603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5367655</wp:posOffset>
            </wp:positionH>
            <wp:positionV relativeFrom="paragraph">
              <wp:posOffset>-4053840</wp:posOffset>
            </wp:positionV>
            <wp:extent cx="603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5367655</wp:posOffset>
            </wp:positionH>
            <wp:positionV relativeFrom="paragraph">
              <wp:posOffset>-2485390</wp:posOffset>
            </wp:positionV>
            <wp:extent cx="603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5367655</wp:posOffset>
            </wp:positionH>
            <wp:positionV relativeFrom="paragraph">
              <wp:posOffset>-1953895</wp:posOffset>
            </wp:positionV>
            <wp:extent cx="603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5367655</wp:posOffset>
            </wp:positionH>
            <wp:positionV relativeFrom="paragraph">
              <wp:posOffset>-1936750</wp:posOffset>
            </wp:positionV>
            <wp:extent cx="603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981"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Reconciliation of Consolidated Non-GAAP Financial Measures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520" w:type="dxa"/>
            <w:vAlign w:val="bottom"/>
            <w:tcBorders>
              <w:bottom w:val="single" w:sz="8" w:color="auto"/>
            </w:tcBorders>
            <w:gridSpan w:val="7"/>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Three Months Ended December 31, 2024</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17"/>
        </w:trPr>
        <w:tc>
          <w:tcPr>
            <w:tcW w:w="3580" w:type="dxa"/>
            <w:vAlign w:val="bottom"/>
          </w:tcPr>
          <w:p>
            <w:pPr>
              <w:spacing w:after="0"/>
              <w:rPr>
                <w:sz w:val="10"/>
                <w:szCs w:val="10"/>
                <w:color w:val="auto"/>
              </w:rPr>
            </w:pPr>
          </w:p>
        </w:tc>
        <w:tc>
          <w:tcPr>
            <w:tcW w:w="11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First Advantage</w:t>
            </w:r>
          </w:p>
        </w:tc>
        <w:tc>
          <w:tcPr>
            <w:tcW w:w="100" w:type="dxa"/>
            <w:vAlign w:val="bottom"/>
          </w:tcPr>
          <w:p>
            <w:pPr>
              <w:spacing w:after="0"/>
              <w:rPr>
                <w:sz w:val="10"/>
                <w:szCs w:val="10"/>
                <w:color w:val="auto"/>
              </w:rPr>
            </w:pPr>
          </w:p>
        </w:tc>
        <w:tc>
          <w:tcPr>
            <w:tcW w:w="11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First Advantage</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73"/>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Sterling</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0" w:type="dxa"/>
            <w:vAlign w:val="bottom"/>
          </w:tcPr>
          <w:p>
            <w:pPr>
              <w:spacing w:after="0"/>
              <w:rPr>
                <w:sz w:val="15"/>
                <w:szCs w:val="15"/>
                <w:color w:val="auto"/>
              </w:rPr>
            </w:pPr>
          </w:p>
        </w:tc>
        <w:tc>
          <w:tcPr>
            <w:tcW w:w="11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Total revenues</w:t>
            </w:r>
          </w:p>
        </w:tc>
      </w:tr>
      <w:tr>
        <w:trPr>
          <w:trHeight w:val="210"/>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 as reported (GAAP)</w:t>
            </w: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172,349</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24,020</w:t>
            </w:r>
          </w:p>
        </w:tc>
        <w:tc>
          <w:tcPr>
            <w:tcW w:w="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113,068</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(2,313 )</w:t>
            </w:r>
          </w:p>
        </w:tc>
        <w:tc>
          <w:tcPr>
            <w:tcW w:w="3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307,124</w:t>
            </w:r>
          </w:p>
        </w:tc>
      </w:tr>
      <w:tr>
        <w:trPr>
          <w:trHeight w:val="216"/>
        </w:trPr>
        <w:tc>
          <w:tcPr>
            <w:tcW w:w="35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Foreign currency translation impact </w:t>
            </w:r>
            <w:r>
              <w:rPr>
                <w:rFonts w:ascii="Times New Roman" w:cs="Times New Roman" w:eastAsia="Times New Roman" w:hAnsi="Times New Roman"/>
                <w:sz w:val="24"/>
                <w:szCs w:val="24"/>
                <w:color w:val="auto"/>
                <w:vertAlign w:val="superscript"/>
              </w:rPr>
              <w:t>(a)</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(415 )</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(267 )</w:t>
            </w:r>
          </w:p>
        </w:tc>
      </w:tr>
      <w:tr>
        <w:trPr>
          <w:trHeight w:val="249"/>
        </w:trPr>
        <w:tc>
          <w:tcPr>
            <w:tcW w:w="3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Constant currency revenues</w:t>
            </w:r>
          </w:p>
        </w:tc>
        <w:tc>
          <w:tcPr>
            <w:tcW w:w="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172,475</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23,605</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113,068</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(2,291 )</w:t>
            </w:r>
          </w:p>
        </w:tc>
        <w:tc>
          <w:tcPr>
            <w:tcW w:w="380" w:type="dxa"/>
            <w:vAlign w:val="bottom"/>
            <w:tcBorders>
              <w:bottom w:val="single" w:sz="8" w:color="auto"/>
            </w:tcBorders>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306,857</w:t>
            </w:r>
          </w:p>
        </w:tc>
      </w:tr>
      <w:tr>
        <w:trPr>
          <w:trHeight w:val="291"/>
        </w:trPr>
        <w:tc>
          <w:tcPr>
            <w:tcW w:w="3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7"/>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17"/>
        </w:trPr>
        <w:tc>
          <w:tcPr>
            <w:tcW w:w="3580" w:type="dxa"/>
            <w:vAlign w:val="bottom"/>
          </w:tcPr>
          <w:p>
            <w:pPr>
              <w:spacing w:after="0"/>
              <w:rPr>
                <w:sz w:val="10"/>
                <w:szCs w:val="10"/>
                <w:color w:val="auto"/>
              </w:rPr>
            </w:pPr>
          </w:p>
        </w:tc>
        <w:tc>
          <w:tcPr>
            <w:tcW w:w="11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First Advantage</w:t>
            </w:r>
          </w:p>
        </w:tc>
        <w:tc>
          <w:tcPr>
            <w:tcW w:w="100" w:type="dxa"/>
            <w:vAlign w:val="bottom"/>
          </w:tcPr>
          <w:p>
            <w:pPr>
              <w:spacing w:after="0"/>
              <w:rPr>
                <w:sz w:val="10"/>
                <w:szCs w:val="10"/>
                <w:color w:val="auto"/>
              </w:rPr>
            </w:pPr>
          </w:p>
        </w:tc>
        <w:tc>
          <w:tcPr>
            <w:tcW w:w="11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First Advantage</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73"/>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Sterling</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80" w:type="dxa"/>
            <w:vAlign w:val="bottom"/>
          </w:tcPr>
          <w:p>
            <w:pPr>
              <w:spacing w:after="0"/>
              <w:rPr>
                <w:sz w:val="15"/>
                <w:szCs w:val="15"/>
                <w:color w:val="auto"/>
              </w:rPr>
            </w:pPr>
          </w:p>
        </w:tc>
        <w:tc>
          <w:tcPr>
            <w:tcW w:w="11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Total revenues</w:t>
            </w:r>
          </w:p>
        </w:tc>
      </w:tr>
      <w:tr>
        <w:trPr>
          <w:trHeight w:val="209"/>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 as reported (GAAP)</w:t>
            </w: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658,758</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96,854</w:t>
            </w:r>
          </w:p>
        </w:tc>
        <w:tc>
          <w:tcPr>
            <w:tcW w:w="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113,068</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(8,475 )</w:t>
            </w:r>
          </w:p>
        </w:tc>
        <w:tc>
          <w:tcPr>
            <w:tcW w:w="3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860,205</w:t>
            </w:r>
          </w:p>
        </w:tc>
      </w:tr>
      <w:tr>
        <w:trPr>
          <w:trHeight w:val="216"/>
        </w:trPr>
        <w:tc>
          <w:tcPr>
            <w:tcW w:w="35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Foreign currency translation impact </w:t>
            </w:r>
            <w:r>
              <w:rPr>
                <w:rFonts w:ascii="Times New Roman" w:cs="Times New Roman" w:eastAsia="Times New Roman" w:hAnsi="Times New Roman"/>
                <w:sz w:val="24"/>
                <w:szCs w:val="24"/>
                <w:color w:val="auto"/>
                <w:vertAlign w:val="superscript"/>
              </w:rPr>
              <w:t>(a)</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(663 )</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(434 )</w:t>
            </w:r>
          </w:p>
        </w:tc>
      </w:tr>
      <w:tr>
        <w:trPr>
          <w:trHeight w:val="250"/>
        </w:trPr>
        <w:tc>
          <w:tcPr>
            <w:tcW w:w="3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Constant currency revenues</w:t>
            </w:r>
          </w:p>
        </w:tc>
        <w:tc>
          <w:tcPr>
            <w:tcW w:w="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658,923</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96,191</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113,068</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(8,411 )</w:t>
            </w:r>
          </w:p>
        </w:tc>
        <w:tc>
          <w:tcPr>
            <w:tcW w:w="380" w:type="dxa"/>
            <w:vAlign w:val="bottom"/>
            <w:tcBorders>
              <w:bottom w:val="single" w:sz="8" w:color="auto"/>
            </w:tcBorders>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859,771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-873760</wp:posOffset>
            </wp:positionV>
            <wp:extent cx="596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3002915</wp:posOffset>
            </wp:positionH>
            <wp:positionV relativeFrom="paragraph">
              <wp:posOffset>-856615</wp:posOffset>
            </wp:positionV>
            <wp:extent cx="596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-873760</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-856615</wp:posOffset>
            </wp:positionV>
            <wp:extent cx="603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-873760</wp:posOffset>
            </wp:positionV>
            <wp:extent cx="596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-856615</wp:posOffset>
            </wp:positionV>
            <wp:extent cx="596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3002915</wp:posOffset>
            </wp:positionH>
            <wp:positionV relativeFrom="paragraph">
              <wp:posOffset>-24765</wp:posOffset>
            </wp:positionV>
            <wp:extent cx="596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3002915</wp:posOffset>
            </wp:positionH>
            <wp:positionV relativeFrom="paragraph">
              <wp:posOffset>-7620</wp:posOffset>
            </wp:positionV>
            <wp:extent cx="596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-24765</wp:posOffset>
            </wp:positionV>
            <wp:extent cx="60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-7620</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-24765</wp:posOffset>
            </wp:positionV>
            <wp:extent cx="596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-7620</wp:posOffset>
            </wp:positionV>
            <wp:extent cx="596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Constant currency revenues is calculated by translating current period amounts using prior-year period exchange rates.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4"/>
          </w:tcPr>
          <w:p>
            <w:pPr>
              <w:jc w:val="right"/>
              <w:ind w:right="1133"/>
              <w:spacing w:after="0"/>
              <w:rPr>
                <w:sz w:val="20"/>
                <w:szCs w:val="20"/>
                <w:color w:val="auto"/>
              </w:rPr>
            </w:pPr>
            <w:r>
              <w:rPr>
                <w:rFonts w:ascii="Times New Roman" w:cs="Times New Roman" w:eastAsia="Times New Roman" w:hAnsi="Times New Roman"/>
                <w:sz w:val="14"/>
                <w:szCs w:val="14"/>
                <w:b w:val="1"/>
                <w:bCs w:val="1"/>
                <w:color w:val="auto"/>
              </w:rPr>
              <w:t>Interim Periods</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jc w:val="right"/>
              <w:ind w:right="1151"/>
              <w:spacing w:after="0"/>
              <w:rPr>
                <w:sz w:val="20"/>
                <w:szCs w:val="20"/>
                <w:color w:val="auto"/>
              </w:rPr>
            </w:pPr>
            <w:r>
              <w:rPr>
                <w:rFonts w:ascii="Times New Roman" w:cs="Times New Roman" w:eastAsia="Times New Roman" w:hAnsi="Times New Roman"/>
                <w:sz w:val="14"/>
                <w:szCs w:val="14"/>
                <w:b w:val="1"/>
                <w:bCs w:val="1"/>
                <w:color w:val="auto"/>
              </w:rPr>
              <w:t>Annual Periods</w:t>
            </w:r>
          </w:p>
        </w:tc>
        <w:tc>
          <w:tcPr>
            <w:tcW w:w="0" w:type="dxa"/>
            <w:vAlign w:val="bottom"/>
          </w:tcPr>
          <w:p>
            <w:pPr>
              <w:spacing w:after="0"/>
              <w:rPr>
                <w:sz w:val="1"/>
                <w:szCs w:val="1"/>
                <w:color w:val="auto"/>
              </w:rPr>
            </w:pPr>
          </w:p>
        </w:tc>
      </w:tr>
      <w:tr>
        <w:trPr>
          <w:trHeight w:val="117"/>
        </w:trPr>
        <w:tc>
          <w:tcPr>
            <w:tcW w:w="3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jc w:val="center"/>
              <w:ind w:right="353"/>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tcPr>
          <w:p>
            <w:pPr>
              <w:jc w:val="center"/>
              <w:ind w:right="293"/>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35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27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0" w:type="dxa"/>
            <w:vAlign w:val="bottom"/>
            <w:tcBorders>
              <w:bottom w:val="single" w:sz="8" w:color="auto"/>
            </w:tcBorders>
            <w:gridSpan w:val="2"/>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520" w:type="dxa"/>
            <w:vAlign w:val="bottom"/>
            <w:tcBorders>
              <w:bottom w:val="single" w:sz="8" w:color="auto"/>
            </w:tcBorders>
            <w:gridSpan w:val="2"/>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c>
          <w:tcPr>
            <w:tcW w:w="1600" w:type="dxa"/>
            <w:vAlign w:val="bottom"/>
            <w:tcBorders>
              <w:bottom w:val="single" w:sz="8" w:color="auto"/>
            </w:tcBorders>
            <w:gridSpan w:val="2"/>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540" w:type="dxa"/>
            <w:vAlign w:val="bottom"/>
            <w:tcBorders>
              <w:bottom w:val="single" w:sz="8" w:color="auto"/>
            </w:tcBorders>
            <w:gridSpan w:val="2"/>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0"/>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(100,366 )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14,813</w:t>
            </w:r>
          </w:p>
        </w:tc>
        <w:tc>
          <w:tcPr>
            <w:tcW w:w="3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(110,273 )</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37,293</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8"/>
                <w:szCs w:val="18"/>
                <w:color w:val="auto"/>
              </w:rPr>
            </w:pPr>
          </w:p>
        </w:tc>
        <w:tc>
          <w:tcPr>
            <w:tcW w:w="14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23,734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12,915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51,848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33,040</w:t>
            </w: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(4,425 )</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(4,342 )</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11,183</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4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55,951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33,132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145,919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129,473</w:t>
            </w: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93"/>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4"/>
                <w:szCs w:val="24"/>
                <w:color w:val="auto"/>
                <w:vertAlign w:val="superscript"/>
              </w:rPr>
              <w:t>(a)</w:t>
            </w:r>
          </w:p>
        </w:tc>
        <w:tc>
          <w:tcPr>
            <w:tcW w:w="160" w:type="dxa"/>
            <w:vAlign w:val="bottom"/>
          </w:tcPr>
          <w:p>
            <w:pPr>
              <w:spacing w:after="0"/>
              <w:rPr>
                <w:sz w:val="18"/>
                <w:szCs w:val="18"/>
                <w:color w:val="auto"/>
              </w:rPr>
            </w:pPr>
          </w:p>
        </w:tc>
        <w:tc>
          <w:tcPr>
            <w:tcW w:w="14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12,459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4,816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31,762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15,265</w:t>
            </w:r>
          </w:p>
        </w:tc>
        <w:tc>
          <w:tcPr>
            <w:tcW w:w="0" w:type="dxa"/>
            <w:vAlign w:val="bottom"/>
          </w:tcPr>
          <w:p>
            <w:pPr>
              <w:spacing w:after="0"/>
              <w:rPr>
                <w:sz w:val="1"/>
                <w:szCs w:val="1"/>
                <w:color w:val="auto"/>
              </w:rPr>
            </w:pPr>
          </w:p>
        </w:tc>
      </w:tr>
      <w:tr>
        <w:trPr>
          <w:trHeight w:val="178"/>
        </w:trPr>
        <w:tc>
          <w:tcPr>
            <w:tcW w:w="3160" w:type="dxa"/>
            <w:vAlign w:val="bottom"/>
            <w:shd w:val="clear" w:color="auto" w:fill="CFF0FC"/>
          </w:tcPr>
          <w:p>
            <w:pPr>
              <w:ind w:left="20"/>
              <w:spacing w:after="0" w:line="177" w:lineRule="exact"/>
              <w:rPr>
                <w:sz w:val="20"/>
                <w:szCs w:val="20"/>
                <w:color w:val="auto"/>
              </w:rPr>
            </w:pPr>
            <w:r>
              <w:rPr>
                <w:rFonts w:ascii="Times New Roman" w:cs="Times New Roman" w:eastAsia="Times New Roman" w:hAnsi="Times New Roman"/>
                <w:sz w:val="18"/>
                <w:szCs w:val="18"/>
                <w:color w:val="auto"/>
              </w:rPr>
              <w:t>Transaction and acquisition-related</w:t>
            </w:r>
          </w:p>
        </w:tc>
        <w:tc>
          <w:tcPr>
            <w:tcW w:w="1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3160" w:type="dxa"/>
            <w:vAlign w:val="bottom"/>
            <w:shd w:val="clear" w:color="auto" w:fill="CFF0FC"/>
          </w:tcPr>
          <w:p>
            <w:pPr>
              <w:ind w:left="20"/>
              <w:spacing w:after="0" w:line="255" w:lineRule="exact"/>
              <w:rPr>
                <w:sz w:val="20"/>
                <w:szCs w:val="20"/>
                <w:color w:val="auto"/>
              </w:rPr>
            </w:pPr>
            <w:r>
              <w:rPr>
                <w:rFonts w:ascii="Times New Roman" w:cs="Times New Roman" w:eastAsia="Times New Roman" w:hAnsi="Times New Roman"/>
                <w:sz w:val="18"/>
                <w:szCs w:val="18"/>
                <w:color w:val="auto"/>
              </w:rPr>
              <w:t>charges</w:t>
            </w:r>
            <w:r>
              <w:rPr>
                <w:rFonts w:ascii="Times New Roman" w:cs="Times New Roman" w:eastAsia="Times New Roman" w:hAnsi="Times New Roman"/>
                <w:sz w:val="24"/>
                <w:szCs w:val="24"/>
                <w:color w:val="auto"/>
                <w:vertAlign w:val="superscript"/>
              </w:rPr>
              <w:t>(b)</w:t>
            </w:r>
          </w:p>
        </w:tc>
        <w:tc>
          <w:tcPr>
            <w:tcW w:w="160" w:type="dxa"/>
            <w:vAlign w:val="bottom"/>
            <w:shd w:val="clear" w:color="auto" w:fill="CFF0FC"/>
          </w:tcPr>
          <w:p>
            <w:pPr>
              <w:spacing w:after="0"/>
              <w:rPr>
                <w:sz w:val="22"/>
                <w:szCs w:val="22"/>
                <w:color w:val="auto"/>
              </w:rPr>
            </w:pPr>
          </w:p>
        </w:tc>
        <w:tc>
          <w:tcPr>
            <w:tcW w:w="1440" w:type="dxa"/>
            <w:vAlign w:val="bottom"/>
            <w:shd w:val="clear" w:color="auto" w:fill="CFF0FC"/>
          </w:tcPr>
          <w:p>
            <w:pPr>
              <w:jc w:val="right"/>
              <w:ind w:right="193"/>
              <w:spacing w:after="0"/>
              <w:rPr>
                <w:sz w:val="20"/>
                <w:szCs w:val="20"/>
                <w:color w:val="auto"/>
              </w:rPr>
            </w:pPr>
            <w:r>
              <w:rPr>
                <w:rFonts w:ascii="Times New Roman" w:cs="Times New Roman" w:eastAsia="Times New Roman" w:hAnsi="Times New Roman"/>
                <w:sz w:val="18"/>
                <w:szCs w:val="18"/>
                <w:color w:val="auto"/>
              </w:rPr>
              <w:t>93,151</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6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0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8"/>
                <w:szCs w:val="18"/>
                <w:color w:val="auto"/>
              </w:rPr>
              <w:t>128,234</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4,364</w:t>
            </w:r>
          </w:p>
        </w:tc>
        <w:tc>
          <w:tcPr>
            <w:tcW w:w="0" w:type="dxa"/>
            <w:vAlign w:val="bottom"/>
          </w:tcPr>
          <w:p>
            <w:pPr>
              <w:spacing w:after="0"/>
              <w:rPr>
                <w:sz w:val="1"/>
                <w:szCs w:val="1"/>
                <w:color w:val="auto"/>
              </w:rPr>
            </w:pPr>
          </w:p>
        </w:tc>
      </w:tr>
      <w:tr>
        <w:trPr>
          <w:trHeight w:val="178"/>
        </w:trPr>
        <w:tc>
          <w:tcPr>
            <w:tcW w:w="316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Integration, restructuring, and other</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160" w:type="dxa"/>
            <w:vAlign w:val="bottom"/>
          </w:tcPr>
          <w:p>
            <w:pPr>
              <w:ind w:left="20"/>
              <w:spacing w:after="0" w:line="241" w:lineRule="exact"/>
              <w:rPr>
                <w:sz w:val="20"/>
                <w:szCs w:val="20"/>
                <w:color w:val="auto"/>
              </w:rPr>
            </w:pPr>
            <w:r>
              <w:rPr>
                <w:rFonts w:ascii="Times New Roman" w:cs="Times New Roman" w:eastAsia="Times New Roman" w:hAnsi="Times New Roman"/>
                <w:sz w:val="18"/>
                <w:szCs w:val="18"/>
                <w:color w:val="auto"/>
              </w:rPr>
              <w:t>charges</w:t>
            </w:r>
            <w:r>
              <w:rPr>
                <w:rFonts w:ascii="Times New Roman" w:cs="Times New Roman" w:eastAsia="Times New Roman" w:hAnsi="Times New Roman"/>
                <w:sz w:val="24"/>
                <w:szCs w:val="24"/>
                <w:color w:val="auto"/>
                <w:vertAlign w:val="superscript"/>
              </w:rPr>
              <w:t>(c)</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2,050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5,771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6,938</w:t>
            </w:r>
          </w:p>
        </w:tc>
        <w:tc>
          <w:tcPr>
            <w:tcW w:w="0" w:type="dxa"/>
            <w:vAlign w:val="bottom"/>
          </w:tcPr>
          <w:p>
            <w:pPr>
              <w:spacing w:after="0"/>
              <w:rPr>
                <w:sz w:val="1"/>
                <w:szCs w:val="1"/>
                <w:color w:val="auto"/>
              </w:rPr>
            </w:pPr>
          </w:p>
        </w:tc>
      </w:tr>
      <w:tr>
        <w:trPr>
          <w:trHeight w:val="250"/>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FF0FC"/>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82,937</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68,234</w:t>
            </w:r>
          </w:p>
        </w:tc>
        <w:tc>
          <w:tcPr>
            <w:tcW w:w="3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249,302</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237,556</w:t>
            </w:r>
          </w:p>
        </w:tc>
        <w:tc>
          <w:tcPr>
            <w:tcW w:w="0" w:type="dxa"/>
            <w:vAlign w:val="bottom"/>
          </w:tcPr>
          <w:p>
            <w:pPr>
              <w:spacing w:after="0"/>
              <w:rPr>
                <w:sz w:val="1"/>
                <w:szCs w:val="1"/>
                <w:color w:val="auto"/>
              </w:rPr>
            </w:pPr>
          </w:p>
        </w:tc>
      </w:tr>
      <w:tr>
        <w:trPr>
          <w:trHeight w:val="197"/>
        </w:trPr>
        <w:tc>
          <w:tcPr>
            <w:tcW w:w="316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193"/>
              <w:spacing w:after="0" w:line="196" w:lineRule="exact"/>
              <w:rPr>
                <w:sz w:val="20"/>
                <w:szCs w:val="20"/>
                <w:color w:val="auto"/>
              </w:rPr>
            </w:pPr>
            <w:r>
              <w:rPr>
                <w:rFonts w:ascii="Times New Roman" w:cs="Times New Roman" w:eastAsia="Times New Roman" w:hAnsi="Times New Roman"/>
                <w:sz w:val="18"/>
                <w:szCs w:val="18"/>
                <w:color w:val="auto"/>
              </w:rPr>
              <w:t>307,124</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133"/>
              <w:spacing w:after="0" w:line="196" w:lineRule="exact"/>
              <w:rPr>
                <w:sz w:val="20"/>
                <w:szCs w:val="20"/>
                <w:color w:val="auto"/>
              </w:rPr>
            </w:pPr>
            <w:r>
              <w:rPr>
                <w:rFonts w:ascii="Times New Roman" w:cs="Times New Roman" w:eastAsia="Times New Roman" w:hAnsi="Times New Roman"/>
                <w:sz w:val="18"/>
                <w:szCs w:val="18"/>
                <w:color w:val="auto"/>
              </w:rPr>
              <w:t>202,562</w:t>
            </w:r>
          </w:p>
        </w:tc>
        <w:tc>
          <w:tcPr>
            <w:tcW w:w="10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192"/>
              <w:spacing w:after="0" w:line="196" w:lineRule="exact"/>
              <w:rPr>
                <w:sz w:val="20"/>
                <w:szCs w:val="20"/>
                <w:color w:val="auto"/>
              </w:rPr>
            </w:pPr>
            <w:r>
              <w:rPr>
                <w:rFonts w:ascii="Times New Roman" w:cs="Times New Roman" w:eastAsia="Times New Roman" w:hAnsi="Times New Roman"/>
                <w:sz w:val="18"/>
                <w:szCs w:val="18"/>
                <w:color w:val="auto"/>
              </w:rPr>
              <w:t>860,205</w:t>
            </w: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131"/>
              <w:spacing w:after="0" w:line="196" w:lineRule="exact"/>
              <w:rPr>
                <w:sz w:val="20"/>
                <w:szCs w:val="20"/>
                <w:color w:val="auto"/>
              </w:rPr>
            </w:pPr>
            <w:r>
              <w:rPr>
                <w:rFonts w:ascii="Times New Roman" w:cs="Times New Roman" w:eastAsia="Times New Roman" w:hAnsi="Times New Roman"/>
                <w:sz w:val="18"/>
                <w:szCs w:val="18"/>
                <w:color w:val="auto"/>
              </w:rPr>
              <w:t>763,761</w:t>
            </w: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margin</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(32.7 )%</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7.3 %</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(12.8 )%</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4.9 %</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33.7 %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31.1 %</w:t>
            </w: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93"/>
              <w:spacing w:after="0"/>
              <w:rPr>
                <w:sz w:val="20"/>
                <w:szCs w:val="20"/>
                <w:color w:val="auto"/>
              </w:rPr>
            </w:pPr>
            <w:r>
              <w:rPr>
                <w:rFonts w:ascii="Times New Roman" w:cs="Times New Roman" w:eastAsia="Times New Roman" w:hAnsi="Times New Roman"/>
                <w:sz w:val="18"/>
                <w:szCs w:val="18"/>
                <w:color w:val="auto"/>
              </w:rPr>
              <w:t>82,937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8"/>
                <w:szCs w:val="18"/>
                <w:color w:val="auto"/>
              </w:rPr>
              <w:t>249,302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Foreign currency translation impact</w:t>
            </w:r>
            <w:r>
              <w:rPr>
                <w:rFonts w:ascii="Times New Roman" w:cs="Times New Roman" w:eastAsia="Times New Roman" w:hAnsi="Times New Roman"/>
                <w:sz w:val="24"/>
                <w:szCs w:val="24"/>
                <w:color w:val="auto"/>
                <w:vertAlign w:val="superscript"/>
              </w:rPr>
              <w:t>(d)</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Constant currency Adjusted EBITDA</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FF0FC"/>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82,926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FF0FC"/>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249,361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3020060</wp:posOffset>
            </wp:positionH>
            <wp:positionV relativeFrom="paragraph">
              <wp:posOffset>-882015</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-864870</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4057015</wp:posOffset>
            </wp:positionH>
            <wp:positionV relativeFrom="paragraph">
              <wp:posOffset>-882015</wp:posOffset>
            </wp:positionV>
            <wp:extent cx="60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4057015</wp:posOffset>
            </wp:positionH>
            <wp:positionV relativeFrom="paragraph">
              <wp:posOffset>-864870</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-882015</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-864870</wp:posOffset>
            </wp:positionV>
            <wp:extent cx="60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5" w:lineRule="exact"/>
        <w:rPr>
          <w:sz w:val="20"/>
          <w:szCs w:val="20"/>
          <w:color w:val="auto"/>
        </w:rPr>
      </w:pPr>
    </w:p>
    <w:p>
      <w:pPr>
        <w:jc w:val="both"/>
        <w:ind w:left="200" w:hanging="196"/>
        <w:spacing w:after="0" w:line="226" w:lineRule="auto"/>
        <w:tabs>
          <w:tab w:leader="none" w:pos="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Share-based compensation for the three months ended December 31, 2024 and 2023, includes approximately $3.5 million and $2.6 million, respectively, of incrementally recognized expense associated with the May 2023 vesting modification. Share-based compensation for the years ended December 31, 2024 and 2023, include approximately $13.1 million and $6.6 million, respectively, of incrementally recognized expense associated with the May 2023 vesting modification. Share-based compensation for the three months and year ended December 31, 2024 also includes approximately $2.1 million and $4.2 million, respectively, of incrementally recognized expense associated with the retirements of the Company's former Chief Financial Officer and former President, Americas.</w:t>
      </w:r>
    </w:p>
    <w:p>
      <w:pPr>
        <w:jc w:val="both"/>
        <w:ind w:left="200" w:hanging="196"/>
        <w:spacing w:after="0"/>
        <w:tabs>
          <w:tab w:leader="none" w:pos="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incurred related to acquisitions and similar transactions, primarily consisting of change in control-related costs, professional service fees, and other third-party costs. Transaction and acquisition related charges for the three months ended December 31, 2024 include approximately $92.3 million of expense associated with the acquisition of Sterling, primarily consisting of $41.2 million of compensation expense attributable to converted Sterling equity awards, of which $38.9 million related to accelerated vesting for employees terminated after the acquisition, $16.5 million in debt refinancing costs, $12.4 million of legal, regulatory, integration, and diligence professional service fees, $10.7 million in post-combination restructuring expenses, $9.5 million in success-based banking fees, and $2.0 million of other one-time transaction charges. Transaction and acquisition related charges for the year ended December 31, 2024 include approximately $125.7 million of expense associated with the acquisition of Sterling, primarily consisting of $41.2 million of compensation expense attributable to converted Sterling equity awards, of which $38.9 million related to accelerated vesting for employees terminated after the acquisition, $45.8 million of legal, regulatory, integration, and diligence professional service fees, $16.5 million in debt refinancing costs, $10.7 million in post-combination restructuring expenses, $9.5 million in success-based banking fees, and $2.0 million of other one-time transaction charges. Also includes incremental professional service fees incurred related to the initial public offering.</w:t>
      </w:r>
    </w:p>
    <w:p>
      <w:pPr>
        <w:spacing w:after="0" w:line="23" w:lineRule="exact"/>
        <w:rPr>
          <w:rFonts w:ascii="Times New Roman" w:cs="Times New Roman" w:eastAsia="Times New Roman" w:hAnsi="Times New Roman"/>
          <w:sz w:val="14"/>
          <w:szCs w:val="14"/>
          <w:color w:val="auto"/>
        </w:rPr>
      </w:pPr>
    </w:p>
    <w:p>
      <w:pPr>
        <w:ind w:left="200" w:hanging="196"/>
        <w:spacing w:after="0" w:line="221" w:lineRule="auto"/>
        <w:tabs>
          <w:tab w:leader="none" w:pos="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from organizational restructuring and integration activities, non-cash, and other charges primarily related to nonrecurring legal exposures, foreign currency (gains) losses, (gains) losses on the sale of assets, and other non-recurring items.</w:t>
      </w:r>
    </w:p>
    <w:p>
      <w:pPr>
        <w:ind w:left="200" w:hanging="196"/>
        <w:spacing w:after="0"/>
        <w:tabs>
          <w:tab w:leader="none" w:pos="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Adjusted EBITDA is calculated by translating current period amounts using prior-year period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875030</wp:posOffset>
            </wp:positionV>
            <wp:extent cx="703770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39" w:right="10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color w:val="auto"/>
        </w:rPr>
        <w:t>Reconciliation of Consolidated Non-GAAP Financial Measures (continued)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gridSpan w:val="6"/>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Interim Periods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gridSpan w:val="6"/>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Annual Periods</w:t>
            </w:r>
          </w:p>
        </w:tc>
        <w:tc>
          <w:tcPr>
            <w:tcW w:w="0" w:type="dxa"/>
            <w:vAlign w:val="bottom"/>
          </w:tcPr>
          <w:p>
            <w:pPr>
              <w:spacing w:after="0"/>
              <w:rPr>
                <w:sz w:val="1"/>
                <w:szCs w:val="1"/>
                <w:color w:val="auto"/>
              </w:rPr>
            </w:pPr>
          </w:p>
        </w:tc>
      </w:tr>
      <w:tr>
        <w:trPr>
          <w:trHeight w:val="117"/>
        </w:trPr>
        <w:tc>
          <w:tcPr>
            <w:tcW w:w="40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92"/>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3"/>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6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Pr>
          <w:p>
            <w:pPr>
              <w:spacing w:after="0"/>
              <w:rPr>
                <w:sz w:val="15"/>
                <w:szCs w:val="15"/>
                <w:color w:val="auto"/>
              </w:rPr>
            </w:pPr>
          </w:p>
        </w:tc>
        <w:tc>
          <w:tcPr>
            <w:tcW w:w="144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40" w:type="dxa"/>
            <w:vAlign w:val="bottom"/>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9"/>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Borders>
              <w:top w:val="single" w:sz="8" w:color="auto"/>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(100,366 )</w:t>
            </w:r>
          </w:p>
        </w:tc>
        <w:tc>
          <w:tcPr>
            <w:tcW w:w="100" w:type="dxa"/>
            <w:vAlign w:val="bottom"/>
            <w:shd w:val="clear" w:color="auto" w:fill="CFF0FC"/>
          </w:tcPr>
          <w:p>
            <w:pPr>
              <w:spacing w:after="0"/>
              <w:rPr>
                <w:sz w:val="18"/>
                <w:szCs w:val="18"/>
                <w:color w:val="auto"/>
              </w:rPr>
            </w:pPr>
          </w:p>
        </w:tc>
        <w:tc>
          <w:tcPr>
            <w:tcW w:w="240" w:type="dxa"/>
            <w:vAlign w:val="bottom"/>
            <w:tcBorders>
              <w:top w:val="single" w:sz="8" w:color="auto"/>
            </w:tcBorders>
            <w:gridSpan w:val="2"/>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14,813</w:t>
            </w: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(110,273 )</w:t>
            </w:r>
          </w:p>
        </w:tc>
        <w:tc>
          <w:tcPr>
            <w:tcW w:w="10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37,293</w:t>
            </w: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(4,425 )</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(4,342 )</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11,183</w:t>
            </w:r>
          </w:p>
        </w:tc>
        <w:tc>
          <w:tcPr>
            <w:tcW w:w="0" w:type="dxa"/>
            <w:vAlign w:val="bottom"/>
          </w:tcPr>
          <w:p>
            <w:pPr>
              <w:spacing w:after="0"/>
              <w:rPr>
                <w:sz w:val="1"/>
                <w:szCs w:val="1"/>
                <w:color w:val="auto"/>
              </w:rPr>
            </w:pPr>
          </w:p>
        </w:tc>
      </w:tr>
      <w:tr>
        <w:trPr>
          <w:trHeight w:val="210"/>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(104,791 )</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16,466</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(114,615 )</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48,476</w:t>
            </w: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Debt-related costs</w:t>
            </w:r>
            <w:r>
              <w:rPr>
                <w:rFonts w:ascii="Times New Roman" w:cs="Times New Roman" w:eastAsia="Times New Roman" w:hAnsi="Times New Roman"/>
                <w:sz w:val="24"/>
                <w:szCs w:val="24"/>
                <w:color w:val="auto"/>
                <w:vertAlign w:val="superscript"/>
              </w:rPr>
              <w:t>(a)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(6,232 )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12,845</w:t>
            </w: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Acquisition-related depreciation and amortization</w:t>
            </w:r>
            <w:r>
              <w:rPr>
                <w:rFonts w:ascii="Times New Roman" w:cs="Times New Roman" w:eastAsia="Times New Roman" w:hAnsi="Times New Roman"/>
                <w:sz w:val="24"/>
                <w:szCs w:val="24"/>
                <w:color w:val="auto"/>
                <w:vertAlign w:val="superscript"/>
              </w:rPr>
              <w:t>(b)</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45,079</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26,044</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112,966</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102,659</w:t>
            </w: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4"/>
                <w:szCs w:val="24"/>
                <w:color w:val="auto"/>
                <w:vertAlign w:val="superscript"/>
              </w:rPr>
              <w:t>(c)</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12,459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31,762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15,265</w:t>
            </w: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Transaction and acquisition-related charges</w:t>
            </w:r>
            <w:r>
              <w:rPr>
                <w:rFonts w:ascii="Times New Roman" w:cs="Times New Roman" w:eastAsia="Times New Roman" w:hAnsi="Times New Roman"/>
                <w:sz w:val="24"/>
                <w:szCs w:val="24"/>
                <w:color w:val="auto"/>
                <w:vertAlign w:val="superscript"/>
              </w:rPr>
              <w:t>(d)</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93,151</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128,234</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4,364</w:t>
            </w: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Integration, restructuring, and other charges</w:t>
            </w:r>
            <w:r>
              <w:rPr>
                <w:rFonts w:ascii="Times New Roman" w:cs="Times New Roman" w:eastAsia="Times New Roman" w:hAnsi="Times New Roman"/>
                <w:sz w:val="24"/>
                <w:szCs w:val="24"/>
                <w:color w:val="auto"/>
                <w:vertAlign w:val="superscript"/>
              </w:rPr>
              <w:t>(e)</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2,050</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5,771</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6,938</w:t>
            </w:r>
          </w:p>
        </w:tc>
        <w:tc>
          <w:tcPr>
            <w:tcW w:w="0" w:type="dxa"/>
            <w:vAlign w:val="bottom"/>
          </w:tcPr>
          <w:p>
            <w:pPr>
              <w:spacing w:after="0"/>
              <w:rPr>
                <w:sz w:val="1"/>
                <w:szCs w:val="1"/>
                <w:color w:val="auto"/>
              </w:rPr>
            </w:pPr>
          </w:p>
        </w:tc>
      </w:tr>
      <w:tr>
        <w:trPr>
          <w:trHeight w:val="209"/>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Net Income before income tax effect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41,716</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54,043</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164,667</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190,547</w:t>
            </w: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Less: Adjusted income taxes</w:t>
            </w:r>
            <w:r>
              <w:rPr>
                <w:rFonts w:ascii="Times New Roman" w:cs="Times New Roman" w:eastAsia="Times New Roman" w:hAnsi="Times New Roman"/>
                <w:sz w:val="24"/>
                <w:szCs w:val="24"/>
                <w:color w:val="auto"/>
                <w:vertAlign w:val="superscript"/>
              </w:rPr>
              <w:t>(f)</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11,531</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11,480</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40,953</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44,759</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00" w:type="dxa"/>
            <w:vAlign w:val="bottom"/>
            <w:tcBorders>
              <w:bottom w:val="single" w:sz="8" w:color="auto"/>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30,185</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gridSpan w:val="2"/>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42,563</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123,714</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145,788</w:t>
            </w:r>
          </w:p>
        </w:tc>
        <w:tc>
          <w:tcPr>
            <w:tcW w:w="0" w:type="dxa"/>
            <w:vAlign w:val="bottom"/>
          </w:tcPr>
          <w:p>
            <w:pPr>
              <w:spacing w:after="0"/>
              <w:rPr>
                <w:sz w:val="1"/>
                <w:szCs w:val="1"/>
                <w:color w:val="auto"/>
              </w:rPr>
            </w:pPr>
          </w:p>
        </w:tc>
      </w:tr>
      <w:tr>
        <w:trPr>
          <w:trHeight w:val="345"/>
        </w:trPr>
        <w:tc>
          <w:tcPr>
            <w:tcW w:w="4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Interim Periods</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Annual Periods</w:t>
            </w:r>
          </w:p>
        </w:tc>
        <w:tc>
          <w:tcPr>
            <w:tcW w:w="0" w:type="dxa"/>
            <w:vAlign w:val="bottom"/>
          </w:tcPr>
          <w:p>
            <w:pPr>
              <w:spacing w:after="0"/>
              <w:rPr>
                <w:sz w:val="1"/>
                <w:szCs w:val="1"/>
                <w:color w:val="auto"/>
              </w:rPr>
            </w:pPr>
          </w:p>
        </w:tc>
      </w:tr>
      <w:tr>
        <w:trPr>
          <w:trHeight w:val="117"/>
        </w:trPr>
        <w:tc>
          <w:tcPr>
            <w:tcW w:w="4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ind w:right="173"/>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0"/>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net (loss) income per share (GAAP)</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(0.62 )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(0.74 )</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Adjusted Net Income adjustments per share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(0.03 )</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(0.03 )</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Debt-related costs</w:t>
            </w:r>
            <w:r>
              <w:rPr>
                <w:rFonts w:ascii="Times New Roman" w:cs="Times New Roman" w:eastAsia="Times New Roman" w:hAnsi="Times New Roman"/>
                <w:sz w:val="24"/>
                <w:szCs w:val="24"/>
                <w:color w:val="auto"/>
                <w:vertAlign w:val="superscript"/>
              </w:rPr>
              <w:t>(a)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(0.04 )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Acquisition-related depreciation and amortization</w:t>
            </w:r>
            <w:r>
              <w:rPr>
                <w:rFonts w:ascii="Times New Roman" w:cs="Times New Roman" w:eastAsia="Times New Roman" w:hAnsi="Times New Roman"/>
                <w:sz w:val="24"/>
                <w:szCs w:val="24"/>
                <w:color w:val="auto"/>
                <w:vertAlign w:val="superscript"/>
              </w:rPr>
              <w:t>(b)</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0.18</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0.75</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0.70</w:t>
            </w: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4"/>
                <w:szCs w:val="24"/>
                <w:color w:val="auto"/>
                <w:vertAlign w:val="superscript"/>
              </w:rPr>
              <w:t>(c)</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Transaction and acquisition-related charges</w:t>
            </w:r>
            <w:r>
              <w:rPr>
                <w:rFonts w:ascii="Times New Roman" w:cs="Times New Roman" w:eastAsia="Times New Roman" w:hAnsi="Times New Roman"/>
                <w:sz w:val="24"/>
                <w:szCs w:val="24"/>
                <w:color w:val="auto"/>
                <w:vertAlign w:val="superscript"/>
              </w:rPr>
              <w:t>(d)</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0.85</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Integration, restructuring, and other charges</w:t>
            </w:r>
            <w:r>
              <w:rPr>
                <w:rFonts w:ascii="Times New Roman" w:cs="Times New Roman" w:eastAsia="Times New Roman" w:hAnsi="Times New Roman"/>
                <w:sz w:val="24"/>
                <w:szCs w:val="24"/>
                <w:color w:val="auto"/>
                <w:vertAlign w:val="superscript"/>
              </w:rPr>
              <w:t>(e)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4020" w:type="dxa"/>
            <w:vAlign w:val="bottom"/>
            <w:tcBorders>
              <w:bottom w:val="single" w:sz="8" w:color="CFF0FC"/>
            </w:tcBorders>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Adjusted income taxes</w:t>
            </w:r>
            <w:r>
              <w:rPr>
                <w:rFonts w:ascii="Times New Roman" w:cs="Times New Roman" w:eastAsia="Times New Roman" w:hAnsi="Times New Roman"/>
                <w:sz w:val="24"/>
                <w:szCs w:val="24"/>
                <w:color w:val="auto"/>
                <w:vertAlign w:val="superscript"/>
              </w:rPr>
              <w:t>(f)</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(0.07 )</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(0.08 )</w:t>
            </w:r>
          </w:p>
        </w:tc>
        <w:tc>
          <w:tcPr>
            <w:tcW w:w="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(0.27 )</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(0.31 )</w:t>
            </w:r>
          </w:p>
        </w:tc>
        <w:tc>
          <w:tcPr>
            <w:tcW w:w="0" w:type="dxa"/>
            <w:vAlign w:val="bottom"/>
          </w:tcPr>
          <w:p>
            <w:pPr>
              <w:spacing w:after="0"/>
              <w:rPr>
                <w:sz w:val="1"/>
                <w:szCs w:val="1"/>
                <w:color w:val="auto"/>
              </w:rPr>
            </w:pPr>
          </w:p>
        </w:tc>
      </w:tr>
      <w:tr>
        <w:trPr>
          <w:trHeight w:val="187"/>
        </w:trPr>
        <w:tc>
          <w:tcPr>
            <w:tcW w:w="4020" w:type="dxa"/>
            <w:vAlign w:val="bottom"/>
          </w:tcPr>
          <w:p>
            <w:pPr>
              <w:ind w:left="380"/>
              <w:spacing w:after="0" w:line="188" w:lineRule="exact"/>
              <w:rPr>
                <w:sz w:val="20"/>
                <w:szCs w:val="20"/>
                <w:color w:val="auto"/>
              </w:rPr>
            </w:pPr>
            <w:r>
              <w:rPr>
                <w:rFonts w:ascii="Times New Roman" w:cs="Times New Roman" w:eastAsia="Times New Roman" w:hAnsi="Times New Roman"/>
                <w:sz w:val="18"/>
                <w:szCs w:val="18"/>
                <w:b w:val="1"/>
                <w:bCs w:val="1"/>
                <w:color w:val="auto"/>
              </w:rPr>
              <w:t>Adjusted Diluted Earnings Per Share</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0.18</w:t>
            </w:r>
          </w:p>
        </w:tc>
        <w:tc>
          <w:tcPr>
            <w:tcW w:w="100" w:type="dxa"/>
            <w:vAlign w:val="bottom"/>
          </w:tcPr>
          <w:p>
            <w:pPr>
              <w:spacing w:after="0"/>
              <w:rPr>
                <w:sz w:val="16"/>
                <w:szCs w:val="16"/>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0.29</w:t>
            </w: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0.82</w:t>
            </w:r>
          </w:p>
        </w:tc>
        <w:tc>
          <w:tcPr>
            <w:tcW w:w="20" w:type="dxa"/>
            <w:vAlign w:val="bottom"/>
          </w:tcPr>
          <w:p>
            <w:pPr>
              <w:spacing w:after="0"/>
              <w:rPr>
                <w:sz w:val="16"/>
                <w:szCs w:val="16"/>
                <w:color w:val="auto"/>
              </w:rPr>
            </w:pP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198"/>
        </w:trPr>
        <w:tc>
          <w:tcPr>
            <w:tcW w:w="4020" w:type="dxa"/>
            <w:vAlign w:val="bottom"/>
          </w:tcPr>
          <w:p>
            <w:pPr>
              <w:ind w:left="380"/>
              <w:spacing w:after="0" w:line="198" w:lineRule="exact"/>
              <w:rPr>
                <w:sz w:val="20"/>
                <w:szCs w:val="20"/>
                <w:color w:val="auto"/>
              </w:rPr>
            </w:pPr>
            <w:r>
              <w:rPr>
                <w:rFonts w:ascii="Times New Roman" w:cs="Times New Roman" w:eastAsia="Times New Roman" w:hAnsi="Times New Roman"/>
                <w:sz w:val="18"/>
                <w:szCs w:val="18"/>
                <w:b w:val="1"/>
                <w:bCs w:val="1"/>
                <w:color w:val="auto"/>
              </w:rPr>
              <w:t>(Non-GAAP)</w:t>
            </w:r>
          </w:p>
        </w:tc>
        <w:tc>
          <w:tcPr>
            <w:tcW w:w="20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20" w:type="dxa"/>
            <w:vAlign w:val="bottom"/>
            <w:gridSpan w:val="3"/>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00" w:type="dxa"/>
            <w:vAlign w:val="bottom"/>
            <w:gridSpan w:val="2"/>
            <w:shd w:val="clear" w:color="auto" w:fill="CFF0FC"/>
          </w:tcPr>
          <w:p>
            <w:pPr>
              <w:spacing w:after="0"/>
              <w:rPr>
                <w:sz w:val="17"/>
                <w:szCs w:val="17"/>
                <w:color w:val="auto"/>
              </w:rPr>
            </w:pPr>
          </w:p>
        </w:tc>
        <w:tc>
          <w:tcPr>
            <w:tcW w:w="1460" w:type="dxa"/>
            <w:vAlign w:val="bottom"/>
            <w:gridSpan w:val="4"/>
            <w:shd w:val="clear" w:color="auto" w:fill="CFF0FC"/>
          </w:tcPr>
          <w:p>
            <w:pPr>
              <w:spacing w:after="0"/>
              <w:rPr>
                <w:sz w:val="17"/>
                <w:szCs w:val="17"/>
                <w:color w:val="auto"/>
              </w:rPr>
            </w:pPr>
          </w:p>
        </w:tc>
        <w:tc>
          <w:tcPr>
            <w:tcW w:w="1380" w:type="dxa"/>
            <w:vAlign w:val="bottom"/>
            <w:gridSpan w:val="4"/>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60" w:type="dxa"/>
            <w:vAlign w:val="bottom"/>
            <w:gridSpan w:val="4"/>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8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used in computation of Adjusted Diluted Earnings Per Share: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(GAAP)</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162,774,306</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144,969,753</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148,582,226</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146,226,096</w:t>
            </w:r>
          </w:p>
        </w:tc>
        <w:tc>
          <w:tcPr>
            <w:tcW w:w="0" w:type="dxa"/>
            <w:vAlign w:val="bottom"/>
          </w:tcPr>
          <w:p>
            <w:pPr>
              <w:spacing w:after="0"/>
              <w:rPr>
                <w:sz w:val="1"/>
                <w:szCs w:val="1"/>
                <w:color w:val="auto"/>
              </w:rPr>
            </w:pPr>
          </w:p>
        </w:tc>
      </w:tr>
      <w:tr>
        <w:trPr>
          <w:trHeight w:val="198"/>
        </w:trPr>
        <w:tc>
          <w:tcPr>
            <w:tcW w:w="40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Options and restricted stock not included in weighted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number of shares outstanding—diluted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3,178,548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2,606,405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(using treasury stock method)</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020" w:type="dxa"/>
            <w:vAlign w:val="bottom"/>
            <w:shd w:val="clear" w:color="auto" w:fill="CFF0FC"/>
          </w:tcPr>
          <w:p>
            <w:pPr>
              <w:ind w:left="200"/>
              <w:spacing w:after="0" w:line="191" w:lineRule="exact"/>
              <w:rPr>
                <w:sz w:val="20"/>
                <w:szCs w:val="20"/>
                <w:color w:val="auto"/>
              </w:rPr>
            </w:pPr>
            <w:r>
              <w:rPr>
                <w:rFonts w:ascii="Times New Roman" w:cs="Times New Roman" w:eastAsia="Times New Roman" w:hAnsi="Times New Roman"/>
                <w:sz w:val="18"/>
                <w:szCs w:val="18"/>
                <w:color w:val="auto"/>
              </w:rPr>
              <w:t>Adjusted weighted average number of shares</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165,952,854</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144,969,753</w:t>
            </w: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151,188,631</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vMerge w:val="restart"/>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146,226,096</w:t>
            </w:r>
          </w:p>
        </w:tc>
        <w:tc>
          <w:tcPr>
            <w:tcW w:w="0" w:type="dxa"/>
            <w:vAlign w:val="bottom"/>
          </w:tcPr>
          <w:p>
            <w:pPr>
              <w:spacing w:after="0"/>
              <w:rPr>
                <w:sz w:val="1"/>
                <w:szCs w:val="1"/>
                <w:color w:val="auto"/>
              </w:rPr>
            </w:pPr>
          </w:p>
        </w:tc>
      </w:tr>
      <w:tr>
        <w:trPr>
          <w:trHeight w:val="234"/>
        </w:trPr>
        <w:tc>
          <w:tcPr>
            <w:tcW w:w="4020" w:type="dxa"/>
            <w:vAlign w:val="bottom"/>
            <w:tcBorders>
              <w:bottom w:val="single" w:sz="8" w:color="CFF0FC"/>
            </w:tcBorders>
            <w:shd w:val="clear" w:color="auto" w:fill="CFF0FC"/>
          </w:tcPr>
          <w:p>
            <w:pPr>
              <w:ind w:left="200"/>
              <w:spacing w:after="0" w:line="194" w:lineRule="exact"/>
              <w:rPr>
                <w:sz w:val="20"/>
                <w:szCs w:val="20"/>
                <w:color w:val="auto"/>
              </w:rPr>
            </w:pPr>
            <w:r>
              <w:rPr>
                <w:rFonts w:ascii="Times New Roman" w:cs="Times New Roman" w:eastAsia="Times New Roman" w:hAnsi="Times New Roman"/>
                <w:sz w:val="18"/>
                <w:szCs w:val="18"/>
                <w:color w:val="auto"/>
              </w:rPr>
              <w:t>outstanding—diluted (Non-GAAP)</w:t>
            </w: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gridSpan w:val="2"/>
            <w:vMerge w:val="continue"/>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gridSpan w:val="2"/>
            <w:vMerge w:val="continue"/>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3414395</wp:posOffset>
            </wp:positionH>
            <wp:positionV relativeFrom="paragraph">
              <wp:posOffset>-3308350</wp:posOffset>
            </wp:positionV>
            <wp:extent cx="596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-3291205</wp:posOffset>
            </wp:positionV>
            <wp:extent cx="596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4331335</wp:posOffset>
            </wp:positionH>
            <wp:positionV relativeFrom="paragraph">
              <wp:posOffset>-3308350</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4331335</wp:posOffset>
            </wp:positionH>
            <wp:positionV relativeFrom="paragraph">
              <wp:posOffset>-3291205</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5248910</wp:posOffset>
            </wp:positionH>
            <wp:positionV relativeFrom="paragraph">
              <wp:posOffset>-3308350</wp:posOffset>
            </wp:positionV>
            <wp:extent cx="596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5248910</wp:posOffset>
            </wp:positionH>
            <wp:positionV relativeFrom="paragraph">
              <wp:posOffset>-3291205</wp:posOffset>
            </wp:positionV>
            <wp:extent cx="596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-1517015</wp:posOffset>
            </wp:positionV>
            <wp:extent cx="603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4399915</wp:posOffset>
            </wp:positionH>
            <wp:positionV relativeFrom="paragraph">
              <wp:posOffset>-1517015</wp:posOffset>
            </wp:positionV>
            <wp:extent cx="603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5325745</wp:posOffset>
            </wp:positionH>
            <wp:positionV relativeFrom="paragraph">
              <wp:posOffset>-1517015</wp:posOffset>
            </wp:positionV>
            <wp:extent cx="603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-24765</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-8255</wp:posOffset>
            </wp:positionV>
            <wp:extent cx="603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4399915</wp:posOffset>
            </wp:positionH>
            <wp:positionV relativeFrom="paragraph">
              <wp:posOffset>-24765</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4399915</wp:posOffset>
            </wp:positionH>
            <wp:positionV relativeFrom="paragraph">
              <wp:posOffset>-8255</wp:posOffset>
            </wp:positionV>
            <wp:extent cx="603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5325745</wp:posOffset>
            </wp:positionH>
            <wp:positionV relativeFrom="paragraph">
              <wp:posOffset>-24765</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5325745</wp:posOffset>
            </wp:positionH>
            <wp:positionV relativeFrom="paragraph">
              <wp:posOffset>-8255</wp:posOffset>
            </wp:positionV>
            <wp:extent cx="603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65" w:lineRule="exact"/>
        <w:rPr>
          <w:sz w:val="20"/>
          <w:szCs w:val="20"/>
          <w:color w:val="auto"/>
        </w:rPr>
      </w:pPr>
    </w:p>
    <w:p>
      <w:pPr>
        <w:jc w:val="both"/>
        <w:ind w:left="200" w:hanging="196"/>
        <w:spacing w:after="0" w:line="229" w:lineRule="auto"/>
        <w:tabs>
          <w:tab w:leader="none" w:pos="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non-cash interest expense related to the amortization of debt issuance costs for the 2021 February and 2024 October refinancing of the Company’s First Lien Credit Facility. This adjustment also includes the impact of the change in fair value of interest rate swaps, which represents the difference between the fair value gains or losses and actual cash payments and receipts on the interest rate swaps.</w:t>
      </w:r>
    </w:p>
    <w:p>
      <w:pPr>
        <w:jc w:val="both"/>
        <w:ind w:left="200" w:hanging="196"/>
        <w:spacing w:after="0" w:line="221" w:lineRule="auto"/>
        <w:tabs>
          <w:tab w:leader="none" w:pos="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Represents the depreciation and amortization expense related to incremental intangible and developed technology assets recorded due to the application of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As a result, the purchase accounting related depreciation and amortization expense will recur in future periods until the related assets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fully depreciated or amortized, and the related purchase accounting assets may contribute to revenue generation</w:t>
      </w:r>
      <w:r>
        <w:rPr>
          <w:rFonts w:ascii="Times New Roman" w:cs="Times New Roman" w:eastAsia="Times New Roman" w:hAnsi="Times New Roman"/>
          <w:sz w:val="14"/>
          <w:szCs w:val="14"/>
          <w:i w:val="1"/>
          <w:iCs w:val="1"/>
          <w:color w:val="auto"/>
        </w:rPr>
        <w:t>.</w:t>
      </w:r>
    </w:p>
    <w:p>
      <w:pPr>
        <w:jc w:val="both"/>
        <w:ind w:left="200" w:hanging="196"/>
        <w:spacing w:after="0" w:line="228" w:lineRule="auto"/>
        <w:tabs>
          <w:tab w:leader="none" w:pos="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Share-based compensation for the three months ended December 31, 2024 and 2023, includes approximately $3.5 million and $2.6 million, respectively, of incrementally recognized expense associated with the May 2023 vesting modification. Share-based compensation for the years ended December 31, 2024 and 2023, include approximately $13.1 million and $6.6 million, respectively, of incrementally recognized expense associated with the May 2023 vesting modification. Share-based compensation for the three months and year ended December 31, 2024 also includes approximately $2.1 million and $4.2 million, respectively, of incrementally recognized expense associated with the retirements of the Company's former Chief Financial Officer and former President, Americas.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594995</wp:posOffset>
            </wp:positionV>
            <wp:extent cx="703770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77" w:right="1099" w:bottom="1440" w:gutter="0" w:footer="0" w:header="0"/>
        </w:sectPr>
      </w:pPr>
    </w:p>
    <w:bookmarkStart w:id="14" w:name="page15"/>
    <w:bookmarkEnd w:id="14"/>
    <w:p>
      <w:pPr>
        <w:jc w:val="both"/>
        <w:ind w:left="860" w:right="660" w:hanging="196"/>
        <w:spacing w:after="0"/>
        <w:tabs>
          <w:tab w:leader="none" w:pos="8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incurred related to acquisitions and similar transactions, primarily consisting of change in control-related costs, professional service fees, and other third-party costs. Transaction and acquisition related charges for the three months ended December 31, 2024 include approximately $92.3 million of expense associated with the acquisition of Sterling, primarily consisting of $41.2 million of compensation expense attributable to converted Sterling equity awards, of which $38.9 million related to accelerated vesting for employees terminated after the acquisition, $16.5 million in debt refinancing costs, $12.4 million of legal, regulatory, integration, and diligence professional service fees, $10.7 million in post-combination restructuring expenses, $9.5 million in success-based banking fees, and $2.0 million of other one-time transaction charges. Transaction and acquisition related charges for the year ended December 31, 2024 include approximately $125.7 million of expense associated with the acquisition of Sterling, primarily consisting of $41.2 million of compensation expense attributable to converted Sterling equity awards, of which $38.9 million related to accelerated vesting for employees terminated after the acquisition, $45.8 million of legal, regulatory, integration, and diligence professional service fees, $16.5 million in debt refinancing costs, $10.7 million in post-combination restructuring expenses, $9.5 million in success-based banking fees, and $2.0 million of other one-time transaction charges. Also includes incremental professional service fees incurred related to the initial public offering.</w:t>
      </w:r>
    </w:p>
    <w:p>
      <w:pPr>
        <w:spacing w:after="0" w:line="39" w:lineRule="exact"/>
        <w:rPr>
          <w:rFonts w:ascii="Times New Roman" w:cs="Times New Roman" w:eastAsia="Times New Roman" w:hAnsi="Times New Roman"/>
          <w:sz w:val="14"/>
          <w:szCs w:val="14"/>
          <w:color w:val="auto"/>
        </w:rPr>
      </w:pPr>
    </w:p>
    <w:p>
      <w:pPr>
        <w:ind w:left="860" w:right="660" w:hanging="196"/>
        <w:spacing w:after="0" w:line="221" w:lineRule="auto"/>
        <w:tabs>
          <w:tab w:leader="none" w:pos="8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from organizational restructuring and integration activities, non-cash, and other charges primarily related to nonrecurring legal exposures, foreign currency (gains) losses, (gains) losses on the sale of assets, and other non-recurring items.</w:t>
      </w:r>
    </w:p>
    <w:p>
      <w:pPr>
        <w:jc w:val="both"/>
        <w:ind w:left="860" w:right="660" w:hanging="196"/>
        <w:spacing w:after="0"/>
        <w:tabs>
          <w:tab w:leader="none" w:pos="8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tax rates of approximately 27.6% and 21.2% have been used to compute Adjusted Net Income and Adjusted Diluted Earnings Per Share for the three months ended December 31, 2024 and 2023, respectively</w:t>
      </w:r>
      <w:r>
        <w:rPr>
          <w:rFonts w:ascii="Times New Roman" w:cs="Times New Roman" w:eastAsia="Times New Roman" w:hAnsi="Times New Roman"/>
          <w:sz w:val="14"/>
          <w:szCs w:val="14"/>
          <w:color w:val="FF0000"/>
        </w:rPr>
        <w:t>.</w:t>
      </w:r>
      <w:r>
        <w:rPr>
          <w:rFonts w:ascii="Times New Roman" w:cs="Times New Roman" w:eastAsia="Times New Roman" w:hAnsi="Times New Roman"/>
          <w:sz w:val="14"/>
          <w:szCs w:val="14"/>
          <w:color w:val="auto"/>
        </w:rPr>
        <w:t xml:space="preserve"> Effective tax rates of approximately 24.9% and 23.5%, have been used to compute Adjusted Net Income and Adjusted Diluted Earnings Per Share for the years ended December 31, 2024 and 2023, respectively. As of December 31, 2024, we had net operating loss carryforwards of approximately $15.3 million for federal income tax purposes available to reduce future income subject to income taxes. As a result, the amount of actual cash taxes we may pay for federal income taxes differs significantly from the effective income tax rate computed in accordance with GAAP and from the normalized rate shown above.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878"/>
              <w:spacing w:after="0"/>
              <w:rPr>
                <w:sz w:val="20"/>
                <w:szCs w:val="20"/>
                <w:color w:val="auto"/>
              </w:rPr>
            </w:pPr>
            <w:r>
              <w:rPr>
                <w:rFonts w:ascii="Times New Roman" w:cs="Times New Roman" w:eastAsia="Times New Roman" w:hAnsi="Times New Roman"/>
                <w:sz w:val="14"/>
                <w:szCs w:val="14"/>
                <w:b w:val="1"/>
                <w:bCs w:val="1"/>
                <w:color w:val="auto"/>
              </w:rPr>
              <w:t>Interim Periods</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Annual Periods</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6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center"/>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vMerge w:val="restart"/>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6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c>
          <w:tcPr>
            <w:tcW w:w="1360" w:type="dxa"/>
            <w:vAlign w:val="bottom"/>
            <w:tcBorders>
              <w:bottom w:val="single" w:sz="8" w:color="auto"/>
            </w:tcBorders>
            <w:gridSpan w:val="2"/>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340" w:type="dxa"/>
            <w:vAlign w:val="bottom"/>
            <w:tcBorders>
              <w:bottom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404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Cash flows from operating activities, as reported</w:t>
            </w:r>
          </w:p>
        </w:tc>
        <w:tc>
          <w:tcPr>
            <w:tcW w:w="1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(85,666 )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56,740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28,196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162,820</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paid related to the Sterling acquisition</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125,107</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136,311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0" w:type="dxa"/>
            <w:vAlign w:val="bottom"/>
          </w:tcPr>
          <w:p>
            <w:pPr>
              <w:spacing w:after="0"/>
              <w:rPr>
                <w:sz w:val="21"/>
                <w:szCs w:val="21"/>
                <w:color w:val="auto"/>
              </w:rPr>
            </w:pPr>
          </w:p>
        </w:tc>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Operating Cash Flow</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39,441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56,740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164,507</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162,820</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5"/>
        </w:trPr>
        <w:tc>
          <w:tcPr>
            <w:tcW w:w="660" w:type="dxa"/>
            <w:vAlign w:val="bottom"/>
            <w:tcBorders>
              <w:bottom w:val="single" w:sz="8" w:color="9A9A9A"/>
            </w:tcBorders>
          </w:tcPr>
          <w:p>
            <w:pPr>
              <w:spacing w:after="0"/>
              <w:rPr>
                <w:sz w:val="24"/>
                <w:szCs w:val="24"/>
                <w:color w:val="auto"/>
              </w:rPr>
            </w:pPr>
          </w:p>
        </w:tc>
        <w:tc>
          <w:tcPr>
            <w:tcW w:w="4040" w:type="dxa"/>
            <w:vAlign w:val="bottom"/>
            <w:tcBorders>
              <w:top w:val="single" w:sz="8" w:color="CFF0FC"/>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122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120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11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1180" w:type="dxa"/>
            <w:vAlign w:val="bottom"/>
            <w:tcBorders>
              <w:top w:val="single" w:sz="8" w:color="auto"/>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-796290</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3841750</wp:posOffset>
            </wp:positionH>
            <wp:positionV relativeFrom="paragraph">
              <wp:posOffset>-779780</wp:posOffset>
            </wp:positionV>
            <wp:extent cx="603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4759325</wp:posOffset>
            </wp:positionH>
            <wp:positionV relativeFrom="paragraph">
              <wp:posOffset>-796290</wp:posOffset>
            </wp:positionV>
            <wp:extent cx="596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4759325</wp:posOffset>
            </wp:positionH>
            <wp:positionV relativeFrom="paragraph">
              <wp:posOffset>-779780</wp:posOffset>
            </wp:positionV>
            <wp:extent cx="596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5676265</wp:posOffset>
            </wp:positionH>
            <wp:positionV relativeFrom="paragraph">
              <wp:posOffset>-796290</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5676265</wp:posOffset>
            </wp:positionH>
            <wp:positionV relativeFrom="paragraph">
              <wp:posOffset>-779780</wp:posOffset>
            </wp:positionV>
            <wp:extent cx="603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981" w:right="439" w:bottom="1440"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2025-02-27T05:59:42Z</dcterms:created>
  <dcterms:modified xsi:type="dcterms:W3CDTF">2025-02-27T05:59:42Z</dcterms:modified>
</cp:coreProperties>
</file>