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First Advantage Corporation</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243840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tbl>
      <w:tblPr>
        <w:tblLayout w:type="fixed"/>
        <w:tblInd w:w="920" w:type="dxa"/>
        <w:tblCellMar>
          <w:top w:w="0" w:type="dxa"/>
          <w:left w:w="0" w:type="dxa"/>
          <w:bottom w:w="0" w:type="dxa"/>
          <w:right w:w="0" w:type="dxa"/>
        </w:tblCellMar>
      </w:tblPr>
      <w:tr>
        <w:trPr>
          <w:trHeight w:val="218"/>
        </w:trPr>
        <w:tc>
          <w:tcPr>
            <w:tcW w:w="268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20" w:type="dxa"/>
            <w:vAlign w:val="bottom"/>
          </w:tcPr>
          <w:p>
            <w:pPr>
              <w:jc w:val="right"/>
              <w:ind w:right="1084"/>
              <w:spacing w:after="0"/>
              <w:rPr>
                <w:sz w:val="20"/>
                <w:szCs w:val="20"/>
                <w:color w:val="auto"/>
              </w:rPr>
            </w:pPr>
            <w:r>
              <w:rPr>
                <w:rFonts w:ascii="Times New Roman" w:cs="Times New Roman" w:eastAsia="Times New Roman" w:hAnsi="Times New Roman"/>
                <w:sz w:val="18"/>
                <w:szCs w:val="18"/>
                <w:b w:val="1"/>
                <w:bCs w:val="1"/>
                <w:color w:val="auto"/>
              </w:rPr>
              <w:t>001-31666</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84-3884690</w:t>
            </w:r>
          </w:p>
        </w:tc>
      </w:tr>
      <w:tr>
        <w:trPr>
          <w:trHeight w:val="135"/>
        </w:trPr>
        <w:tc>
          <w:tcPr>
            <w:tcW w:w="2680" w:type="dxa"/>
            <w:vAlign w:val="bottom"/>
          </w:tcPr>
          <w:p>
            <w:pPr>
              <w:jc w:val="center"/>
              <w:ind w:right="442"/>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2820" w:type="dxa"/>
            <w:vAlign w:val="bottom"/>
          </w:tcPr>
          <w:p>
            <w:pPr>
              <w:jc w:val="center"/>
              <w:ind w:right="204"/>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1800" w:type="dxa"/>
            <w:vAlign w:val="bottom"/>
          </w:tcPr>
          <w:p>
            <w:pPr>
              <w:jc w:val="center"/>
              <w:ind w:left="746"/>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680" w:type="dxa"/>
            <w:vAlign w:val="bottom"/>
          </w:tcPr>
          <w:p>
            <w:pPr>
              <w:jc w:val="center"/>
              <w:ind w:right="442"/>
              <w:spacing w:after="0"/>
              <w:rPr>
                <w:sz w:val="20"/>
                <w:szCs w:val="20"/>
                <w:color w:val="auto"/>
              </w:rPr>
            </w:pPr>
            <w:r>
              <w:rPr>
                <w:rFonts w:ascii="Times New Roman" w:cs="Times New Roman" w:eastAsia="Times New Roman" w:hAnsi="Times New Roman"/>
                <w:sz w:val="13"/>
                <w:szCs w:val="13"/>
                <w:b w:val="1"/>
                <w:bCs w:val="1"/>
                <w:color w:val="auto"/>
                <w:w w:val="95"/>
              </w:rPr>
              <w:t>of Incorporation)</w:t>
            </w:r>
          </w:p>
        </w:tc>
        <w:tc>
          <w:tcPr>
            <w:tcW w:w="2820" w:type="dxa"/>
            <w:vAlign w:val="bottom"/>
          </w:tcPr>
          <w:p>
            <w:pPr>
              <w:spacing w:after="0"/>
              <w:rPr>
                <w:sz w:val="14"/>
                <w:szCs w:val="14"/>
                <w:color w:val="auto"/>
              </w:rPr>
            </w:pPr>
          </w:p>
        </w:tc>
        <w:tc>
          <w:tcPr>
            <w:tcW w:w="1800" w:type="dxa"/>
            <w:vAlign w:val="bottom"/>
          </w:tcPr>
          <w:p>
            <w:pPr>
              <w:jc w:val="center"/>
              <w:ind w:left="74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99"/>
        </w:trPr>
        <w:tc>
          <w:tcPr>
            <w:tcW w:w="2680" w:type="dxa"/>
            <w:vAlign w:val="bottom"/>
          </w:tcPr>
          <w:p>
            <w:pPr>
              <w:jc w:val="center"/>
              <w:ind w:right="422"/>
              <w:spacing w:after="0"/>
              <w:rPr>
                <w:sz w:val="20"/>
                <w:szCs w:val="20"/>
                <w:color w:val="auto"/>
              </w:rPr>
            </w:pPr>
            <w:r>
              <w:rPr>
                <w:rFonts w:ascii="Times New Roman" w:cs="Times New Roman" w:eastAsia="Times New Roman" w:hAnsi="Times New Roman"/>
                <w:sz w:val="18"/>
                <w:szCs w:val="18"/>
                <w:b w:val="1"/>
                <w:bCs w:val="1"/>
                <w:color w:val="auto"/>
                <w:w w:val="99"/>
              </w:rPr>
              <w:t>1 Concourse Parkway NE</w:t>
            </w:r>
          </w:p>
        </w:tc>
        <w:tc>
          <w:tcPr>
            <w:tcW w:w="28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6"/>
        </w:trPr>
        <w:tc>
          <w:tcPr>
            <w:tcW w:w="268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rPr>
              <w:t>Suite 200</w:t>
            </w:r>
          </w:p>
        </w:tc>
        <w:tc>
          <w:tcPr>
            <w:tcW w:w="28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8"/>
        </w:trPr>
        <w:tc>
          <w:tcPr>
            <w:tcW w:w="268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9"/>
              </w:rPr>
              <w:t>Atlanta, Georgia</w:t>
            </w:r>
          </w:p>
        </w:tc>
        <w:tc>
          <w:tcPr>
            <w:tcW w:w="2820" w:type="dxa"/>
            <w:vAlign w:val="bottom"/>
          </w:tcPr>
          <w:p>
            <w:pPr>
              <w:spacing w:after="0"/>
              <w:rPr>
                <w:sz w:val="18"/>
                <w:szCs w:val="18"/>
                <w:color w:val="auto"/>
              </w:rPr>
            </w:pPr>
          </w:p>
        </w:tc>
        <w:tc>
          <w:tcPr>
            <w:tcW w:w="18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30328</w:t>
            </w:r>
          </w:p>
        </w:tc>
      </w:tr>
      <w:tr>
        <w:trPr>
          <w:trHeight w:val="166"/>
        </w:trPr>
        <w:tc>
          <w:tcPr>
            <w:tcW w:w="2680" w:type="dxa"/>
            <w:vAlign w:val="bottom"/>
          </w:tcPr>
          <w:p>
            <w:pPr>
              <w:jc w:val="center"/>
              <w:ind w:right="442"/>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820" w:type="dxa"/>
            <w:vAlign w:val="bottom"/>
          </w:tcPr>
          <w:p>
            <w:pPr>
              <w:spacing w:after="0"/>
              <w:rPr>
                <w:sz w:val="14"/>
                <w:szCs w:val="14"/>
                <w:color w:val="auto"/>
              </w:rPr>
            </w:pPr>
          </w:p>
        </w:tc>
        <w:tc>
          <w:tcPr>
            <w:tcW w:w="1800" w:type="dxa"/>
            <w:vAlign w:val="bottom"/>
          </w:tcPr>
          <w:p>
            <w:pPr>
              <w:jc w:val="center"/>
              <w:ind w:left="7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00" w:lineRule="exact"/>
        <w:rPr>
          <w:sz w:val="24"/>
          <w:szCs w:val="24"/>
          <w:color w:val="auto"/>
        </w:rPr>
      </w:pPr>
    </w:p>
    <w:p>
      <w:pPr>
        <w:spacing w:after="0" w:line="2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868-4151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241935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780" w:hanging="33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80" w:hanging="33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80" w:hanging="33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80" w:hanging="33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FA</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85" w:lineRule="exact"/>
        <w:rPr>
          <w:sz w:val="24"/>
          <w:szCs w:val="24"/>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655955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163195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180340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5" w:lineRule="exact"/>
        <w:rPr>
          <w:sz w:val="20"/>
          <w:szCs w:val="20"/>
          <w:color w:val="auto"/>
        </w:rPr>
      </w:pPr>
    </w:p>
    <w:p>
      <w:pPr>
        <w:ind w:left="660" w:right="680"/>
        <w:spacing w:after="0" w:line="258" w:lineRule="auto"/>
        <w:rPr>
          <w:sz w:val="20"/>
          <w:szCs w:val="20"/>
          <w:color w:val="auto"/>
        </w:rPr>
      </w:pPr>
      <w:r>
        <w:rPr>
          <w:rFonts w:ascii="Times New Roman" w:cs="Times New Roman" w:eastAsia="Times New Roman" w:hAnsi="Times New Roman"/>
          <w:sz w:val="18"/>
          <w:szCs w:val="18"/>
          <w:color w:val="auto"/>
        </w:rPr>
        <w:t>On June 6, 2025, First Advantage Corporation (the "Company") held its 2025 Annual Meeting of Stockholders (the “Annual Meeting”). At the Annual Meeting, 166,323,080 shares of the Company’s common stock, or approximately 96% of the 173,642,659 shares entitled to vote at the Annual Meeting, were present in person or by proxy. Below are the final voting results for the following three proposals submitted to the Company’s stockholders, each of which is described in more detail in the Company’s definitive proxy statement for the Annual Meeting, dated April 24, 2025, filed with the Securities and Exchange Commission.</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No. 1-Election of Directors. </w:t>
      </w:r>
      <w:r>
        <w:rPr>
          <w:rFonts w:ascii="Times New Roman" w:cs="Times New Roman" w:eastAsia="Times New Roman" w:hAnsi="Times New Roman"/>
          <w:sz w:val="18"/>
          <w:szCs w:val="18"/>
          <w:color w:val="auto"/>
        </w:rPr>
        <w:t>The stockholders elected the individuals listed below as Class I directors to serve on the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Company’s Board of Directors for a three-year term expiring in 2028. The voting results were as follows: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0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8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Scott Staples</w:t>
            </w:r>
          </w:p>
        </w:tc>
        <w:tc>
          <w:tcPr>
            <w:tcW w:w="24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144,729,054</w:t>
            </w:r>
          </w:p>
        </w:tc>
        <w:tc>
          <w:tcPr>
            <w:tcW w:w="24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18,710,971</w:t>
            </w:r>
          </w:p>
        </w:tc>
        <w:tc>
          <w:tcPr>
            <w:tcW w:w="24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2,883,055</w:t>
            </w: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Susan R. Bell</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143,500,878</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19,939,147</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2,883,055</w:t>
            </w:r>
          </w:p>
        </w:tc>
      </w:tr>
    </w:tbl>
    <w:p>
      <w:pPr>
        <w:spacing w:after="0" w:line="121" w:lineRule="exact"/>
        <w:rPr>
          <w:sz w:val="20"/>
          <w:szCs w:val="20"/>
          <w:color w:val="auto"/>
        </w:rPr>
      </w:pPr>
    </w:p>
    <w:p>
      <w:pPr>
        <w:ind w:left="660" w:right="7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No. 2-Ratification of Independent Registered Public Accounting Firm. </w:t>
      </w:r>
      <w:r>
        <w:rPr>
          <w:rFonts w:ascii="Times New Roman" w:cs="Times New Roman" w:eastAsia="Times New Roman" w:hAnsi="Times New Roman"/>
          <w:sz w:val="18"/>
          <w:szCs w:val="18"/>
          <w:b w:val="1"/>
          <w:bCs w:val="1"/>
          <w:color w:val="auto"/>
        </w:rPr>
        <w:t>The stockholders ratified the appointment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Deloitte &amp; Touche LLP as the Company’s independent registered public accounting firm for the fiscal year ending December 31, 2025. The voting results were as follows:</w:t>
      </w:r>
    </w:p>
    <w:p>
      <w:pPr>
        <w:spacing w:after="0" w:line="11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8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0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Abstained</w:t>
            </w:r>
          </w:p>
        </w:tc>
        <w:tc>
          <w:tcPr>
            <w:tcW w:w="8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36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166,243,725</w:t>
            </w:r>
          </w:p>
        </w:tc>
        <w:tc>
          <w:tcPr>
            <w:tcW w:w="244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67,118</w:t>
            </w:r>
          </w:p>
        </w:tc>
        <w:tc>
          <w:tcPr>
            <w:tcW w:w="246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12,237</w:t>
            </w:r>
          </w:p>
        </w:tc>
        <w:tc>
          <w:tcPr>
            <w:tcW w:w="80" w:type="dxa"/>
            <w:vAlign w:val="bottom"/>
            <w:shd w:val="clear" w:color="auto" w:fill="CFF0FC"/>
          </w:tcPr>
          <w:p>
            <w:pPr>
              <w:spacing w:after="0"/>
              <w:rPr>
                <w:sz w:val="18"/>
                <w:szCs w:val="18"/>
                <w:color w:val="auto"/>
              </w:rPr>
            </w:pPr>
          </w:p>
        </w:tc>
        <w:tc>
          <w:tcPr>
            <w:tcW w:w="2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40" w:lineRule="exact"/>
        <w:rPr>
          <w:sz w:val="20"/>
          <w:szCs w:val="20"/>
          <w:color w:val="auto"/>
        </w:rPr>
      </w:pPr>
    </w:p>
    <w:p>
      <w:pPr>
        <w:ind w:left="660" w:right="10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No. 3-Advisory Vote on Compensation of Named Executive Officers. </w:t>
      </w:r>
      <w:r>
        <w:rPr>
          <w:rFonts w:ascii="Times New Roman" w:cs="Times New Roman" w:eastAsia="Times New Roman" w:hAnsi="Times New Roman"/>
          <w:sz w:val="18"/>
          <w:szCs w:val="18"/>
          <w:color w:val="auto"/>
        </w:rPr>
        <w:t>The stockholders approved, on an advisory (non-binding) basis, the compensation of our named executive officers. The voting results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8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0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Abstained</w:t>
            </w:r>
          </w:p>
        </w:tc>
        <w:tc>
          <w:tcPr>
            <w:tcW w:w="8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66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236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162,932,337</w:t>
            </w:r>
          </w:p>
        </w:tc>
        <w:tc>
          <w:tcPr>
            <w:tcW w:w="244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476,311</w:t>
            </w:r>
          </w:p>
        </w:tc>
        <w:tc>
          <w:tcPr>
            <w:tcW w:w="246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31,377</w:t>
            </w:r>
          </w:p>
        </w:tc>
        <w:tc>
          <w:tcPr>
            <w:tcW w:w="246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2,883,055</w:t>
            </w:r>
          </w:p>
        </w:tc>
        <w:tc>
          <w:tcPr>
            <w:tcW w:w="660" w:type="dxa"/>
            <w:vAlign w:val="bottom"/>
          </w:tcPr>
          <w:p>
            <w:pPr>
              <w:spacing w:after="0"/>
              <w:rPr>
                <w:sz w:val="18"/>
                <w:szCs w:val="18"/>
                <w:color w:val="auto"/>
              </w:rPr>
            </w:pPr>
          </w:p>
        </w:tc>
      </w:tr>
      <w:tr>
        <w:trPr>
          <w:trHeight w:val="979"/>
        </w:trPr>
        <w:tc>
          <w:tcPr>
            <w:tcW w:w="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FIRST ADVANTAGE CORPORATION</w:t>
      </w:r>
    </w:p>
    <w:p>
      <w:pPr>
        <w:spacing w:after="0" w:line="374" w:lineRule="exact"/>
        <w:rPr>
          <w:sz w:val="20"/>
          <w:szCs w:val="20"/>
          <w:color w:val="auto"/>
        </w:rPr>
      </w:pPr>
    </w:p>
    <w:p>
      <w:pPr>
        <w:spacing w:after="0"/>
        <w:tabs>
          <w:tab w:leader="none" w:pos="580" w:val="left"/>
          <w:tab w:leader="none" w:pos="4860" w:val="left"/>
        </w:tabs>
        <w:rPr>
          <w:sz w:val="20"/>
          <w:szCs w:val="20"/>
          <w:color w:val="auto"/>
        </w:rPr>
      </w:pPr>
      <w:r>
        <w:rPr>
          <w:rFonts w:ascii="Times New Roman" w:cs="Times New Roman" w:eastAsia="Times New Roman" w:hAnsi="Times New Roman"/>
          <w:sz w:val="18"/>
          <w:szCs w:val="18"/>
          <w:color w:val="auto"/>
        </w:rPr>
        <w:t>Date:</w:t>
        <w:tab/>
        <w:t>June 9, 2025</w:t>
      </w:r>
      <w:r>
        <w:rPr>
          <w:sz w:val="20"/>
          <w:szCs w:val="20"/>
          <w:color w:val="auto"/>
        </w:rPr>
        <w:tab/>
      </w:r>
      <w:r>
        <w:rPr>
          <w:rFonts w:ascii="Times New Roman" w:cs="Times New Roman" w:eastAsia="Times New Roman" w:hAnsi="Times New Roman"/>
          <w:sz w:val="18"/>
          <w:szCs w:val="18"/>
          <w:color w:val="auto"/>
        </w:rPr>
        <w:t>By:  /s/ Steven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17145</wp:posOffset>
            </wp:positionV>
            <wp:extent cx="28371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Name: Steven Marks</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Title: Executive Vice President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995045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20"/>
          </w:cols>
          <w:pgMar w:left="1080" w:top="765" w:right="139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2025-06-09T15:19:31Z</dcterms:created>
  <dcterms:modified xsi:type="dcterms:W3CDTF">2025-06-09T15:19:31Z</dcterms:modified>
</cp:coreProperties>
</file>