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Bell Susan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73,950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will vest on the first anniversary of the date of grant, or, if earlier, the date which is the business day immediately preceding the date of the annual meeting of the Company's stockholders in 2027, subject to the director's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981"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3332</Characters>
  <CharactersWithSpaces>3891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